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D2CD" w14:textId="13832B49" w:rsidR="0030068F" w:rsidRPr="00FC7BBB" w:rsidRDefault="0030068F" w:rsidP="00940B2B">
      <w:pPr>
        <w:tabs>
          <w:tab w:val="right" w:pos="9900"/>
        </w:tabs>
        <w:spacing w:after="0"/>
        <w:rPr>
          <w:rFonts w:ascii="Arial" w:hAnsi="Arial" w:cs="Arial"/>
          <w:b/>
          <w:i/>
          <w:sz w:val="24"/>
          <w:lang w:eastAsia="zh-CN"/>
        </w:rPr>
      </w:pPr>
      <w:r w:rsidRPr="004D5146">
        <w:rPr>
          <w:rFonts w:ascii="Arial" w:hAnsi="Arial" w:cs="Arial"/>
          <w:b/>
          <w:sz w:val="24"/>
        </w:rPr>
        <w:t xml:space="preserve">3GPP TSG RAN WG1 Meeting </w:t>
      </w:r>
      <w:r w:rsidR="0080062A">
        <w:rPr>
          <w:rFonts w:ascii="Arial" w:hAnsi="Arial" w:cs="Arial"/>
          <w:b/>
          <w:sz w:val="24"/>
        </w:rPr>
        <w:t>#9</w:t>
      </w:r>
      <w:r w:rsidR="00BE65A0">
        <w:rPr>
          <w:rFonts w:ascii="Arial" w:hAnsi="Arial" w:cs="Arial"/>
          <w:b/>
          <w:sz w:val="24"/>
        </w:rPr>
        <w:t>4</w:t>
      </w:r>
      <w:r w:rsidR="00940B2B">
        <w:rPr>
          <w:rFonts w:ascii="Arial" w:hAnsi="Arial" w:cs="Arial"/>
          <w:b/>
          <w:sz w:val="24"/>
        </w:rPr>
        <w:tab/>
      </w:r>
      <w:r w:rsidR="00595121">
        <w:rPr>
          <w:rFonts w:ascii="Arial" w:hAnsi="Arial" w:cs="Arial"/>
          <w:b/>
          <w:sz w:val="24"/>
        </w:rPr>
        <w:t>R1-</w:t>
      </w:r>
      <w:r w:rsidR="00B920FF">
        <w:rPr>
          <w:rFonts w:ascii="Arial" w:hAnsi="Arial" w:cs="Arial"/>
          <w:b/>
          <w:sz w:val="24"/>
        </w:rPr>
        <w:t>18</w:t>
      </w:r>
      <w:r w:rsidR="003A5CED">
        <w:rPr>
          <w:rFonts w:ascii="Arial" w:hAnsi="Arial" w:cs="Arial"/>
          <w:b/>
          <w:sz w:val="24"/>
        </w:rPr>
        <w:t>09481</w:t>
      </w:r>
    </w:p>
    <w:p w14:paraId="6C7A1B96" w14:textId="7BC3A9F2" w:rsidR="00940B2B" w:rsidRDefault="00BE65A0" w:rsidP="00940B2B">
      <w:pPr>
        <w:spacing w:after="0"/>
        <w:rPr>
          <w:rFonts w:ascii="Arial" w:hAnsi="Arial" w:cs="Arial"/>
          <w:b/>
          <w:bCs/>
          <w:sz w:val="24"/>
        </w:rPr>
      </w:pPr>
      <w:r>
        <w:rPr>
          <w:rFonts w:ascii="Arial" w:hAnsi="Arial" w:cs="Arial"/>
          <w:b/>
          <w:bCs/>
          <w:sz w:val="24"/>
        </w:rPr>
        <w:t>Goth</w:t>
      </w:r>
      <w:r w:rsidR="00100305">
        <w:rPr>
          <w:rFonts w:ascii="Arial" w:hAnsi="Arial" w:cs="Arial"/>
          <w:b/>
          <w:bCs/>
          <w:sz w:val="24"/>
        </w:rPr>
        <w:t>e</w:t>
      </w:r>
      <w:r>
        <w:rPr>
          <w:rFonts w:ascii="Arial" w:hAnsi="Arial" w:cs="Arial"/>
          <w:b/>
          <w:bCs/>
          <w:sz w:val="24"/>
        </w:rPr>
        <w:t>nburg</w:t>
      </w:r>
      <w:r w:rsidR="00B920FF">
        <w:rPr>
          <w:rFonts w:ascii="Arial" w:hAnsi="Arial" w:cs="Arial"/>
          <w:b/>
          <w:bCs/>
          <w:sz w:val="24"/>
        </w:rPr>
        <w:t xml:space="preserve">, </w:t>
      </w:r>
      <w:r>
        <w:rPr>
          <w:rFonts w:ascii="Arial" w:hAnsi="Arial" w:cs="Arial"/>
          <w:b/>
          <w:bCs/>
          <w:sz w:val="24"/>
        </w:rPr>
        <w:t>Sweden</w:t>
      </w:r>
    </w:p>
    <w:p w14:paraId="5DEFA040" w14:textId="51FFC610" w:rsidR="002A35AC" w:rsidRDefault="00BE65A0" w:rsidP="002A35AC">
      <w:pPr>
        <w:spacing w:after="0"/>
        <w:rPr>
          <w:rFonts w:ascii="Arial" w:hAnsi="Arial" w:cs="Arial"/>
          <w:b/>
          <w:sz w:val="24"/>
        </w:rPr>
      </w:pPr>
      <w:r>
        <w:rPr>
          <w:rFonts w:ascii="Arial" w:hAnsi="Arial" w:cs="Arial"/>
          <w:b/>
          <w:bCs/>
          <w:sz w:val="24"/>
        </w:rPr>
        <w:t>Aug.</w:t>
      </w:r>
      <w:r w:rsidR="00B920FF">
        <w:rPr>
          <w:rFonts w:ascii="Arial" w:hAnsi="Arial" w:cs="Arial"/>
          <w:b/>
          <w:bCs/>
          <w:sz w:val="24"/>
        </w:rPr>
        <w:t xml:space="preserve"> </w:t>
      </w:r>
      <w:r>
        <w:rPr>
          <w:rFonts w:ascii="Arial" w:hAnsi="Arial" w:cs="Arial"/>
          <w:b/>
          <w:bCs/>
          <w:sz w:val="24"/>
        </w:rPr>
        <w:t>20</w:t>
      </w:r>
      <w:r w:rsidR="002614F6" w:rsidRPr="002614F6">
        <w:rPr>
          <w:rFonts w:ascii="Arial" w:hAnsi="Arial" w:cs="Arial"/>
          <w:b/>
          <w:bCs/>
          <w:sz w:val="24"/>
          <w:vertAlign w:val="superscript"/>
        </w:rPr>
        <w:t>t</w:t>
      </w:r>
      <w:r>
        <w:rPr>
          <w:rFonts w:ascii="Arial" w:hAnsi="Arial" w:cs="Arial"/>
          <w:b/>
          <w:bCs/>
          <w:sz w:val="24"/>
          <w:vertAlign w:val="superscript"/>
        </w:rPr>
        <w:t>h</w:t>
      </w:r>
      <w:r w:rsidR="00B920FF">
        <w:rPr>
          <w:rFonts w:ascii="Arial" w:hAnsi="Arial" w:cs="Arial"/>
          <w:b/>
          <w:bCs/>
          <w:sz w:val="24"/>
        </w:rPr>
        <w:t xml:space="preserve"> – </w:t>
      </w:r>
      <w:r>
        <w:rPr>
          <w:rFonts w:ascii="Arial" w:hAnsi="Arial" w:cs="Arial"/>
          <w:b/>
          <w:bCs/>
          <w:sz w:val="24"/>
        </w:rPr>
        <w:t>Aug.</w:t>
      </w:r>
      <w:r w:rsidR="00B920FF">
        <w:rPr>
          <w:rFonts w:ascii="Arial" w:hAnsi="Arial" w:cs="Arial"/>
          <w:b/>
          <w:bCs/>
          <w:sz w:val="24"/>
        </w:rPr>
        <w:t xml:space="preserve"> 2</w:t>
      </w:r>
      <w:r>
        <w:rPr>
          <w:rFonts w:ascii="Arial" w:hAnsi="Arial" w:cs="Arial"/>
          <w:b/>
          <w:bCs/>
          <w:sz w:val="24"/>
        </w:rPr>
        <w:t>4</w:t>
      </w:r>
      <w:r w:rsidR="00B920FF" w:rsidRPr="00B920FF">
        <w:rPr>
          <w:rFonts w:ascii="Arial" w:hAnsi="Arial" w:cs="Arial"/>
          <w:b/>
          <w:bCs/>
          <w:sz w:val="24"/>
          <w:vertAlign w:val="superscript"/>
        </w:rPr>
        <w:t>th</w:t>
      </w:r>
      <w:r w:rsidR="002A35AC">
        <w:rPr>
          <w:rFonts w:ascii="Arial" w:hAnsi="Arial" w:cs="Arial"/>
          <w:b/>
          <w:bCs/>
          <w:sz w:val="24"/>
        </w:rPr>
        <w:t xml:space="preserve">, </w:t>
      </w:r>
      <w:r w:rsidR="002A35AC" w:rsidRPr="00595121">
        <w:rPr>
          <w:rFonts w:ascii="Arial" w:hAnsi="Arial" w:cs="Arial"/>
          <w:b/>
          <w:bCs/>
          <w:sz w:val="24"/>
        </w:rPr>
        <w:t>201</w:t>
      </w:r>
      <w:r w:rsidR="002A35AC">
        <w:rPr>
          <w:rFonts w:ascii="Arial" w:hAnsi="Arial" w:cs="Arial"/>
          <w:b/>
          <w:bCs/>
          <w:sz w:val="24"/>
        </w:rPr>
        <w:t>8</w:t>
      </w:r>
      <w:r w:rsidR="002A35AC" w:rsidRPr="00FC7BBB">
        <w:rPr>
          <w:rFonts w:ascii="Arial" w:hAnsi="Arial" w:cs="Arial"/>
          <w:b/>
          <w:sz w:val="24"/>
        </w:rPr>
        <w:t xml:space="preserve">  </w:t>
      </w:r>
    </w:p>
    <w:p w14:paraId="463AEF00" w14:textId="77777777" w:rsidR="002A35AC" w:rsidRDefault="002A35AC" w:rsidP="00940B2B">
      <w:pPr>
        <w:spacing w:after="0"/>
        <w:rPr>
          <w:rFonts w:ascii="Arial" w:hAnsi="Arial" w:cs="Arial"/>
          <w:b/>
          <w:bCs/>
          <w:sz w:val="24"/>
        </w:rPr>
      </w:pPr>
    </w:p>
    <w:p w14:paraId="6AD77F87" w14:textId="65122616" w:rsidR="00E83F6B" w:rsidRDefault="00ED73DD" w:rsidP="00E83F6B">
      <w:pPr>
        <w:pStyle w:val="Header"/>
        <w:widowControl w:val="0"/>
        <w:tabs>
          <w:tab w:val="clear" w:pos="4536"/>
          <w:tab w:val="clear" w:pos="9072"/>
        </w:tabs>
        <w:spacing w:after="0"/>
        <w:ind w:right="-57"/>
        <w:rPr>
          <w:rFonts w:ascii="Arial" w:hAnsi="Arial" w:cs="Arial"/>
          <w:b/>
          <w:bCs/>
          <w:sz w:val="24"/>
          <w:lang w:val="en-US"/>
        </w:rPr>
      </w:pPr>
      <w:bookmarkStart w:id="0" w:name="Source"/>
      <w:bookmarkEnd w:id="0"/>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w:t>
      </w:r>
      <w:r w:rsidR="00255D2C">
        <w:rPr>
          <w:rFonts w:ascii="Arial" w:hAnsi="Arial" w:cs="Arial"/>
          <w:b/>
          <w:bCs/>
          <w:sz w:val="24"/>
          <w:lang w:val="en-US"/>
        </w:rPr>
        <w:t>2.2.4.3</w:t>
      </w:r>
    </w:p>
    <w:p w14:paraId="2D0EAC22" w14:textId="2314AA57" w:rsidR="00E83F6B" w:rsidRDefault="007D4C02" w:rsidP="00E83F6B">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8D6BB8">
        <w:rPr>
          <w:rFonts w:ascii="Arial" w:hAnsi="Arial" w:cs="Arial"/>
          <w:b/>
          <w:bCs/>
          <w:sz w:val="24"/>
          <w:lang w:val="en-US"/>
        </w:rPr>
        <w:t xml:space="preserve"> Incorporated</w:t>
      </w:r>
    </w:p>
    <w:p w14:paraId="1E0CE054" w14:textId="1285FAF5" w:rsidR="007122C4" w:rsidRPr="00E83F6B" w:rsidRDefault="007D4C02" w:rsidP="00E83F6B">
      <w:pPr>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83F6B">
        <w:rPr>
          <w:rFonts w:ascii="Arial" w:hAnsi="Arial" w:cs="Arial"/>
          <w:b/>
          <w:bCs/>
          <w:sz w:val="24"/>
          <w:lang w:val="en-US"/>
        </w:rPr>
        <w:tab/>
      </w:r>
      <w:r w:rsidR="00E83F6B">
        <w:rPr>
          <w:rFonts w:ascii="Arial" w:hAnsi="Arial" w:cs="Arial"/>
          <w:b/>
          <w:bCs/>
          <w:sz w:val="24"/>
          <w:lang w:val="en-US"/>
        </w:rPr>
        <w:tab/>
      </w:r>
      <w:r w:rsidR="005F5662">
        <w:rPr>
          <w:rFonts w:ascii="Arial" w:hAnsi="Arial" w:cs="Arial"/>
          <w:b/>
          <w:bCs/>
          <w:sz w:val="24"/>
          <w:lang w:val="en-US"/>
        </w:rPr>
        <w:t xml:space="preserve">Enhancements to </w:t>
      </w:r>
      <w:r w:rsidR="00741165">
        <w:rPr>
          <w:rFonts w:ascii="Arial" w:hAnsi="Arial" w:cs="Arial"/>
          <w:b/>
          <w:bCs/>
          <w:sz w:val="24"/>
          <w:lang w:val="en-US"/>
        </w:rPr>
        <w:t xml:space="preserve">Scheduling and </w:t>
      </w:r>
      <w:r w:rsidR="005F5662">
        <w:rPr>
          <w:rFonts w:ascii="Arial" w:hAnsi="Arial" w:cs="Arial"/>
          <w:b/>
          <w:bCs/>
          <w:sz w:val="24"/>
          <w:lang w:val="en-US"/>
        </w:rPr>
        <w:t>HARQ operation for NR-U</w:t>
      </w:r>
      <w:r w:rsidR="00E83F6B">
        <w:rPr>
          <w:rFonts w:ascii="Arial" w:eastAsia="MS Mincho" w:hAnsi="Arial" w:cs="Arial"/>
          <w:b/>
          <w:bCs/>
          <w:sz w:val="24"/>
          <w:lang w:val="en-US" w:eastAsia="ja-JP"/>
        </w:rPr>
        <w:t xml:space="preserve">                                </w:t>
      </w:r>
      <w:r w:rsidR="00E83F6B">
        <w:rPr>
          <w:rFonts w:ascii="Arial" w:eastAsia="MS Mincho" w:hAnsi="Arial" w:cs="Arial"/>
          <w:b/>
          <w:bCs/>
          <w:sz w:val="24"/>
          <w:lang w:val="en-US" w:eastAsia="ja-JP"/>
        </w:rPr>
        <w:br/>
      </w:r>
      <w:r w:rsidR="001F3AEC" w:rsidRPr="0099619E">
        <w:rPr>
          <w:rFonts w:ascii="Arial" w:hAnsi="Arial" w:cs="Arial"/>
          <w:b/>
          <w:snapToGrid w:val="0"/>
          <w:kern w:val="2"/>
          <w:sz w:val="24"/>
          <w:lang w:val="en-US" w:eastAsia="ko-KR"/>
        </w:rPr>
        <w:t>Document for:</w:t>
      </w:r>
      <w:r w:rsidR="001F3AEC"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001F3AEC" w:rsidRPr="00D61A36">
        <w:rPr>
          <w:rFonts w:ascii="Arial" w:hAnsi="Arial" w:cs="Arial"/>
          <w:b/>
          <w:snapToGrid w:val="0"/>
          <w:kern w:val="2"/>
          <w:sz w:val="24"/>
          <w:lang w:val="en-US" w:eastAsia="ko-KR"/>
        </w:rPr>
        <w:t>Discussion/Decision</w:t>
      </w:r>
    </w:p>
    <w:p w14:paraId="4C70E9F1" w14:textId="3AD147F4" w:rsidR="00623807" w:rsidRPr="00416576" w:rsidRDefault="00E503C3" w:rsidP="00AD5768">
      <w:pPr>
        <w:pStyle w:val="Heading1"/>
      </w:pPr>
      <w:r>
        <w:t>Introduction</w:t>
      </w:r>
      <w:r w:rsidR="00DE31C2">
        <w:t xml:space="preserve"> </w:t>
      </w:r>
    </w:p>
    <w:p w14:paraId="4F515EB3" w14:textId="29BF9DBE" w:rsidR="00096E07" w:rsidRPr="00815A08" w:rsidRDefault="00096E07" w:rsidP="00957EBC">
      <w:pPr>
        <w:overflowPunct w:val="0"/>
        <w:adjustRightInd w:val="0"/>
        <w:contextualSpacing/>
        <w:textAlignment w:val="baseline"/>
        <w:rPr>
          <w:rFonts w:ascii="Times New Roman"/>
          <w:snapToGrid w:val="0"/>
          <w:szCs w:val="20"/>
        </w:rPr>
      </w:pPr>
      <w:r w:rsidRPr="00815A08">
        <w:rPr>
          <w:rFonts w:ascii="Times New Roman"/>
          <w:snapToGrid w:val="0"/>
          <w:szCs w:val="20"/>
        </w:rPr>
        <w:t>In RAN#7</w:t>
      </w:r>
      <w:r w:rsidR="00100305">
        <w:rPr>
          <w:rFonts w:ascii="Times New Roman"/>
          <w:snapToGrid w:val="0"/>
          <w:szCs w:val="20"/>
        </w:rPr>
        <w:t>7</w:t>
      </w:r>
      <w:r w:rsidRPr="00815A08">
        <w:rPr>
          <w:rFonts w:ascii="Times New Roman"/>
          <w:snapToGrid w:val="0"/>
          <w:szCs w:val="20"/>
        </w:rPr>
        <w:t xml:space="preserve"> a new SI [1] for NR based access to unlicensed spectrum was </w:t>
      </w:r>
      <w:r w:rsidR="00100305">
        <w:rPr>
          <w:rFonts w:ascii="Times New Roman"/>
          <w:snapToGrid w:val="0"/>
          <w:szCs w:val="20"/>
        </w:rPr>
        <w:t>approved which was then revised in RAN#80 [2]</w:t>
      </w:r>
      <w:r w:rsidRPr="00815A08">
        <w:rPr>
          <w:rFonts w:ascii="Times New Roman"/>
          <w:snapToGrid w:val="0"/>
          <w:szCs w:val="20"/>
        </w:rPr>
        <w:t>. The objectives of the SI include the following</w:t>
      </w:r>
      <w:r w:rsidR="00100305">
        <w:rPr>
          <w:rFonts w:ascii="Times New Roman"/>
          <w:snapToGrid w:val="0"/>
          <w:szCs w:val="20"/>
        </w:rPr>
        <w:t>:</w:t>
      </w:r>
    </w:p>
    <w:p w14:paraId="0688BF21" w14:textId="77777777" w:rsidR="00100305" w:rsidRPr="00380148" w:rsidRDefault="00100305" w:rsidP="00957EBC">
      <w:pPr>
        <w:numPr>
          <w:ilvl w:val="0"/>
          <w:numId w:val="37"/>
        </w:numPr>
        <w:overflowPunct w:val="0"/>
        <w:autoSpaceDE w:val="0"/>
        <w:autoSpaceDN w:val="0"/>
        <w:adjustRightInd w:val="0"/>
        <w:spacing w:after="0"/>
        <w:textAlignment w:val="baseline"/>
        <w:rPr>
          <w:bCs/>
          <w:lang w:val="en-US"/>
        </w:rPr>
      </w:pPr>
      <w:r>
        <w:rPr>
          <w:bCs/>
          <w:lang w:val="en-US"/>
        </w:rPr>
        <w:t xml:space="preserve">Study NR-based operation in unlicensed spectrum </w:t>
      </w:r>
      <w:r w:rsidRPr="00380148">
        <w:rPr>
          <w:bCs/>
          <w:lang w:val="en-US"/>
        </w:rPr>
        <w:t>(RAN1, RAN2, RAN4)</w:t>
      </w:r>
      <w:r>
        <w:rPr>
          <w:bCs/>
          <w:lang w:val="en-US"/>
        </w:rPr>
        <w:t xml:space="preserve"> including </w:t>
      </w:r>
    </w:p>
    <w:p w14:paraId="47191700" w14:textId="77777777" w:rsidR="00100305" w:rsidRDefault="00100305" w:rsidP="00957EBC">
      <w:pPr>
        <w:numPr>
          <w:ilvl w:val="1"/>
          <w:numId w:val="18"/>
        </w:numPr>
        <w:overflowPunct w:val="0"/>
        <w:autoSpaceDE w:val="0"/>
        <w:autoSpaceDN w:val="0"/>
        <w:adjustRightInd w:val="0"/>
        <w:spacing w:after="0"/>
        <w:textAlignment w:val="baseline"/>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289435D1" w14:textId="77777777" w:rsidR="00100305" w:rsidRDefault="00100305" w:rsidP="00957EBC">
      <w:pPr>
        <w:numPr>
          <w:ilvl w:val="2"/>
          <w:numId w:val="18"/>
        </w:numPr>
        <w:overflowPunct w:val="0"/>
        <w:autoSpaceDE w:val="0"/>
        <w:autoSpaceDN w:val="0"/>
        <w:adjustRightInd w:val="0"/>
        <w:spacing w:after="0"/>
        <w:textAlignment w:val="baseline"/>
        <w:rPr>
          <w:bCs/>
          <w:lang w:val="en-US"/>
        </w:rPr>
      </w:pPr>
      <w:r>
        <w:rPr>
          <w:bCs/>
          <w:lang w:val="en-US"/>
        </w:rPr>
        <w:t>Consider unlicensed bands below 7GHz</w:t>
      </w:r>
    </w:p>
    <w:p w14:paraId="58E14C18" w14:textId="77777777" w:rsidR="00100305" w:rsidRPr="006D32D5" w:rsidRDefault="00100305" w:rsidP="00957EBC">
      <w:pPr>
        <w:numPr>
          <w:ilvl w:val="2"/>
          <w:numId w:val="18"/>
        </w:numPr>
        <w:overflowPunct w:val="0"/>
        <w:autoSpaceDE w:val="0"/>
        <w:autoSpaceDN w:val="0"/>
        <w:adjustRightInd w:val="0"/>
        <w:spacing w:after="0"/>
        <w:textAlignment w:val="baseline"/>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sidRPr="006D32D5">
        <w:rPr>
          <w:bCs/>
          <w:lang w:val="en-US"/>
        </w:rPr>
        <w:t xml:space="preserve"> </w:t>
      </w:r>
    </w:p>
    <w:p w14:paraId="56312543" w14:textId="77777777" w:rsidR="00100305" w:rsidRPr="00BF75FD" w:rsidRDefault="00100305" w:rsidP="00957EBC">
      <w:pPr>
        <w:numPr>
          <w:ilvl w:val="1"/>
          <w:numId w:val="18"/>
        </w:numPr>
        <w:overflowPunct w:val="0"/>
        <w:autoSpaceDE w:val="0"/>
        <w:autoSpaceDN w:val="0"/>
        <w:adjustRightInd w:val="0"/>
        <w:spacing w:after="0"/>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366F4E70" w14:textId="77777777" w:rsidR="00100305" w:rsidRPr="00E16BC1" w:rsidRDefault="00100305" w:rsidP="00957EBC">
      <w:pPr>
        <w:numPr>
          <w:ilvl w:val="1"/>
          <w:numId w:val="18"/>
        </w:numPr>
        <w:overflowPunct w:val="0"/>
        <w:autoSpaceDE w:val="0"/>
        <w:autoSpaceDN w:val="0"/>
        <w:adjustRightInd w:val="0"/>
        <w:spacing w:after="0"/>
        <w:textAlignment w:val="baseline"/>
        <w:rPr>
          <w:bCs/>
          <w:lang w:val="en-US"/>
        </w:rPr>
      </w:pPr>
      <w:r>
        <w:rPr>
          <w:bCs/>
          <w:lang w:val="en-US"/>
        </w:rPr>
        <w:t>C</w:t>
      </w:r>
      <w:r w:rsidRPr="009D12AA">
        <w:rPr>
          <w:bCs/>
          <w:lang w:val="en-US"/>
        </w:rPr>
        <w:t>oexistence</w:t>
      </w:r>
      <w:r w:rsidRPr="008F0CB9">
        <w:rPr>
          <w:bCs/>
          <w:lang w:val="en-US"/>
        </w:rPr>
        <w:t xml:space="preserve"> methods </w:t>
      </w:r>
      <w:r>
        <w:rPr>
          <w:bCs/>
          <w:lang w:val="en-US"/>
        </w:rPr>
        <w:t xml:space="preserve">within NR-based and between NR-based operation in unlicensed and </w:t>
      </w:r>
      <w:r w:rsidRPr="008F0CB9">
        <w:rPr>
          <w:bCs/>
          <w:lang w:val="en-US"/>
        </w:rPr>
        <w:t>LTE</w:t>
      </w:r>
      <w:r>
        <w:rPr>
          <w:bCs/>
          <w:lang w:val="en-US"/>
        </w:rPr>
        <w:t>-based LAA</w:t>
      </w:r>
      <w:r w:rsidRPr="008F0CB9">
        <w:rPr>
          <w:bCs/>
          <w:lang w:val="en-US"/>
        </w:rPr>
        <w:t xml:space="preserve"> and </w:t>
      </w:r>
      <w:r>
        <w:rPr>
          <w:bCs/>
          <w:lang w:val="en-US"/>
        </w:rPr>
        <w:t xml:space="preserve">with </w:t>
      </w:r>
      <w:r w:rsidRPr="008F0CB9">
        <w:rPr>
          <w:bCs/>
          <w:lang w:val="en-US"/>
        </w:rPr>
        <w:t xml:space="preserve">other </w:t>
      </w:r>
      <w:r>
        <w:rPr>
          <w:bCs/>
          <w:lang w:val="en-US"/>
        </w:rPr>
        <w:t xml:space="preserve">incumbent </w:t>
      </w:r>
      <w:r w:rsidRPr="008F0CB9">
        <w:rPr>
          <w:bCs/>
          <w:lang w:val="en-US"/>
        </w:rPr>
        <w:t>RATs</w:t>
      </w:r>
      <w:r w:rsidRPr="00915396">
        <w:rPr>
          <w:bCs/>
          <w:lang w:val="en-US"/>
        </w:rPr>
        <w:t xml:space="preserve"> in accordance with regulatory requirements </w:t>
      </w:r>
      <w:r>
        <w:rPr>
          <w:bCs/>
          <w:lang w:val="en-US"/>
        </w:rPr>
        <w:t xml:space="preserve">in </w:t>
      </w:r>
      <w:r w:rsidRPr="00915396">
        <w:rPr>
          <w:bCs/>
          <w:lang w:val="en-US"/>
        </w:rPr>
        <w:t>e.g., 5GHz</w:t>
      </w:r>
      <w:r>
        <w:rPr>
          <w:bCs/>
          <w:lang w:val="en-US"/>
        </w:rPr>
        <w:t>, 6GHz</w:t>
      </w:r>
      <w:r w:rsidRPr="00915396">
        <w:rPr>
          <w:bCs/>
          <w:lang w:val="en-US"/>
        </w:rPr>
        <w:t xml:space="preserve"> bands </w:t>
      </w:r>
    </w:p>
    <w:p w14:paraId="6720E305" w14:textId="77777777" w:rsidR="00100305" w:rsidRDefault="00100305" w:rsidP="00957EBC">
      <w:pPr>
        <w:numPr>
          <w:ilvl w:val="2"/>
          <w:numId w:val="18"/>
        </w:numPr>
        <w:overflowPunct w:val="0"/>
        <w:autoSpaceDE w:val="0"/>
        <w:autoSpaceDN w:val="0"/>
        <w:adjustRightInd w:val="0"/>
        <w:spacing w:after="0"/>
        <w:textAlignment w:val="baseline"/>
        <w:rPr>
          <w:bCs/>
          <w:lang w:val="en-US"/>
        </w:rPr>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3295E74A" w14:textId="3AAB930A" w:rsidR="00850B49" w:rsidRPr="000D6168" w:rsidRDefault="00850B49" w:rsidP="00957EBC">
      <w:pPr>
        <w:overflowPunct w:val="0"/>
        <w:autoSpaceDE w:val="0"/>
        <w:autoSpaceDN w:val="0"/>
        <w:adjustRightInd w:val="0"/>
        <w:spacing w:before="20" w:after="0"/>
        <w:ind w:left="1800"/>
        <w:textAlignment w:val="baseline"/>
        <w:rPr>
          <w:rFonts w:eastAsia="SimSun"/>
          <w:szCs w:val="20"/>
          <w:lang w:eastAsia="zh-CN"/>
        </w:rPr>
      </w:pPr>
    </w:p>
    <w:p w14:paraId="7A3A2A78" w14:textId="2643180C" w:rsidR="00915140" w:rsidRDefault="000C7DF4" w:rsidP="00957EBC">
      <w:pPr>
        <w:pStyle w:val="LGTdoc"/>
        <w:spacing w:before="20" w:afterLines="0" w:line="240" w:lineRule="auto"/>
        <w:rPr>
          <w:sz w:val="20"/>
          <w:szCs w:val="20"/>
        </w:rPr>
      </w:pPr>
      <w:r>
        <w:rPr>
          <w:sz w:val="20"/>
          <w:szCs w:val="20"/>
        </w:rPr>
        <w:t xml:space="preserve">In </w:t>
      </w:r>
      <w:r w:rsidR="000D6168">
        <w:rPr>
          <w:sz w:val="20"/>
          <w:szCs w:val="20"/>
        </w:rPr>
        <w:t>RAN1 meeting #</w:t>
      </w:r>
      <w:r>
        <w:rPr>
          <w:sz w:val="20"/>
          <w:szCs w:val="20"/>
        </w:rPr>
        <w:t>92</w:t>
      </w:r>
      <w:r w:rsidR="000D6168">
        <w:rPr>
          <w:sz w:val="20"/>
          <w:szCs w:val="20"/>
        </w:rPr>
        <w:t>b</w:t>
      </w:r>
      <w:r>
        <w:rPr>
          <w:sz w:val="20"/>
          <w:szCs w:val="20"/>
        </w:rPr>
        <w:t xml:space="preserve">, </w:t>
      </w:r>
      <w:r w:rsidR="005F5662">
        <w:rPr>
          <w:sz w:val="20"/>
          <w:szCs w:val="20"/>
        </w:rPr>
        <w:t>an agreement was reached to study possible enhancements to HARQ operation</w:t>
      </w:r>
      <w:r w:rsidR="004E4AEB">
        <w:rPr>
          <w:sz w:val="20"/>
          <w:szCs w:val="20"/>
        </w:rPr>
        <w:t xml:space="preserve"> and in RAN1</w:t>
      </w:r>
      <w:r w:rsidR="00915140">
        <w:rPr>
          <w:sz w:val="20"/>
          <w:szCs w:val="20"/>
        </w:rPr>
        <w:t xml:space="preserve">#93 the following agreements were reached </w:t>
      </w:r>
      <w:r w:rsidR="00393913">
        <w:rPr>
          <w:sz w:val="20"/>
          <w:szCs w:val="20"/>
        </w:rPr>
        <w:t>regarding</w:t>
      </w:r>
      <w:r w:rsidR="00915140">
        <w:rPr>
          <w:sz w:val="20"/>
          <w:szCs w:val="20"/>
        </w:rPr>
        <w:t xml:space="preserve"> the HARQ operation</w:t>
      </w:r>
      <w:r w:rsidR="005F5662">
        <w:rPr>
          <w:sz w:val="20"/>
          <w:szCs w:val="20"/>
        </w:rPr>
        <w:t xml:space="preserve">. </w:t>
      </w:r>
    </w:p>
    <w:p w14:paraId="56A39CEB" w14:textId="77777777" w:rsidR="00915140" w:rsidRPr="00D80EDE" w:rsidRDefault="00915140" w:rsidP="00957EBC">
      <w:pPr>
        <w:pStyle w:val="ListParagraph"/>
        <w:numPr>
          <w:ilvl w:val="0"/>
          <w:numId w:val="47"/>
        </w:numPr>
        <w:spacing w:after="0" w:line="240" w:lineRule="auto"/>
        <w:contextualSpacing w:val="0"/>
      </w:pPr>
      <w:r w:rsidRPr="00D80EDE">
        <w:t>Transmission of HARQ A/N for the corresponding data in the same shared COT is identified as beneficial</w:t>
      </w:r>
    </w:p>
    <w:p w14:paraId="5DC7CED1" w14:textId="77777777" w:rsidR="00915140" w:rsidRPr="00D80EDE" w:rsidRDefault="00915140" w:rsidP="00957EBC">
      <w:pPr>
        <w:pStyle w:val="ListParagraph"/>
        <w:numPr>
          <w:ilvl w:val="1"/>
          <w:numId w:val="47"/>
        </w:numPr>
        <w:spacing w:after="0" w:line="240" w:lineRule="auto"/>
        <w:contextualSpacing w:val="0"/>
      </w:pPr>
      <w:r w:rsidRPr="00D80EDE">
        <w:t>Strive to support transmitting all HARQ A/N for the corresponding data in the same shared COT, if possible, considering the current NR UE processing time required</w:t>
      </w:r>
    </w:p>
    <w:p w14:paraId="555613E5" w14:textId="77777777" w:rsidR="00915140" w:rsidRPr="00D80EDE" w:rsidRDefault="00915140" w:rsidP="00957EBC">
      <w:pPr>
        <w:pStyle w:val="ListParagraph"/>
        <w:numPr>
          <w:ilvl w:val="2"/>
          <w:numId w:val="47"/>
        </w:numPr>
        <w:spacing w:after="0" w:line="240" w:lineRule="auto"/>
        <w:contextualSpacing w:val="0"/>
      </w:pPr>
      <w:r w:rsidRPr="00D80EDE">
        <w:t>Mechanisms to support this need to be identified</w:t>
      </w:r>
    </w:p>
    <w:p w14:paraId="62462E94" w14:textId="77777777" w:rsidR="00915140" w:rsidRPr="00D80EDE" w:rsidRDefault="00915140" w:rsidP="00957EBC">
      <w:pPr>
        <w:pStyle w:val="ListParagraph"/>
        <w:numPr>
          <w:ilvl w:val="1"/>
          <w:numId w:val="47"/>
        </w:numPr>
        <w:spacing w:after="0" w:line="240" w:lineRule="auto"/>
        <w:contextualSpacing w:val="0"/>
      </w:pPr>
      <w:r w:rsidRPr="00D80EDE">
        <w:t>It is understood in some cases, the HARQ A/N has to be transmitted in a separate COT from the one the corresponding data was transmitted</w:t>
      </w:r>
    </w:p>
    <w:p w14:paraId="3975BD4E" w14:textId="77777777" w:rsidR="00915140" w:rsidRPr="00D80EDE" w:rsidRDefault="00915140" w:rsidP="00957EBC">
      <w:pPr>
        <w:pStyle w:val="ListParagraph"/>
        <w:numPr>
          <w:ilvl w:val="2"/>
          <w:numId w:val="47"/>
        </w:numPr>
        <w:spacing w:after="0" w:line="240" w:lineRule="auto"/>
        <w:contextualSpacing w:val="0"/>
      </w:pPr>
      <w:r w:rsidRPr="00D80EDE">
        <w:t>Mechanisms to support this need to be identified</w:t>
      </w:r>
    </w:p>
    <w:p w14:paraId="24CD3303" w14:textId="77777777" w:rsidR="00915140" w:rsidRPr="00D80EDE" w:rsidRDefault="00915140" w:rsidP="00957EBC">
      <w:pPr>
        <w:pStyle w:val="ListParagraph"/>
        <w:numPr>
          <w:ilvl w:val="0"/>
          <w:numId w:val="47"/>
        </w:numPr>
        <w:spacing w:after="0" w:line="240" w:lineRule="auto"/>
        <w:contextualSpacing w:val="0"/>
      </w:pPr>
      <w:r w:rsidRPr="00D80EDE">
        <w:t>Techniques to handle reduced HARQ A/N transmission opportunities for a given HARQ process due to LBT failure are identified as beneficial</w:t>
      </w:r>
    </w:p>
    <w:p w14:paraId="6F2AC6E4" w14:textId="77777777" w:rsidR="00915140" w:rsidRPr="00D80EDE" w:rsidRDefault="00915140" w:rsidP="00957EBC">
      <w:pPr>
        <w:pStyle w:val="ListParagraph"/>
        <w:numPr>
          <w:ilvl w:val="1"/>
          <w:numId w:val="47"/>
        </w:numPr>
        <w:spacing w:after="0" w:line="240" w:lineRule="auto"/>
        <w:contextualSpacing w:val="0"/>
      </w:pPr>
      <w:r w:rsidRPr="00D80EDE">
        <w:t>Potential techniques include mechanisms to provide multiple and/or supplemental time and/or frequency domain transmission opportunities</w:t>
      </w:r>
    </w:p>
    <w:p w14:paraId="0DA1AFC5" w14:textId="77777777" w:rsidR="00915140" w:rsidRPr="00C032F8" w:rsidRDefault="00915140" w:rsidP="00957EBC">
      <w:pPr>
        <w:pStyle w:val="ListParagraph"/>
        <w:numPr>
          <w:ilvl w:val="0"/>
          <w:numId w:val="47"/>
        </w:numPr>
        <w:spacing w:after="0" w:line="240" w:lineRule="auto"/>
        <w:contextualSpacing w:val="0"/>
      </w:pPr>
      <w:r w:rsidRPr="00C032F8">
        <w:t>NR-U uses NR HARQ feedback mechanisms as baseline, and enhancements can be identified</w:t>
      </w:r>
    </w:p>
    <w:p w14:paraId="0EE0CBF8" w14:textId="77777777" w:rsidR="00915140" w:rsidRPr="00C032F8" w:rsidRDefault="00915140" w:rsidP="00957EBC">
      <w:pPr>
        <w:pStyle w:val="ListParagraph"/>
        <w:numPr>
          <w:ilvl w:val="0"/>
          <w:numId w:val="47"/>
        </w:numPr>
        <w:spacing w:after="0" w:line="240" w:lineRule="auto"/>
        <w:contextualSpacing w:val="0"/>
      </w:pPr>
      <w:r w:rsidRPr="00C032F8">
        <w:t>When UL HARQ feedback is transmitted on unlicensed band, NR-U considers mechanisms to support flexible triggering and multiplexing of HARQ feedback for one or more DL HARQ processes</w:t>
      </w:r>
    </w:p>
    <w:p w14:paraId="6DBE7F9C" w14:textId="77777777" w:rsidR="00915140" w:rsidRPr="00ED02EE" w:rsidRDefault="00915140" w:rsidP="00957EBC">
      <w:pPr>
        <w:pStyle w:val="ListParagraph"/>
        <w:numPr>
          <w:ilvl w:val="0"/>
          <w:numId w:val="47"/>
        </w:numPr>
        <w:spacing w:after="0" w:line="240" w:lineRule="auto"/>
        <w:contextualSpacing w:val="0"/>
      </w:pPr>
      <w:r w:rsidRPr="00ED02EE">
        <w:t xml:space="preserve">Scheduling multiple TTIs for PUSCH each using a separate UL grant in the same PDCCH monitoring occasion is identified as beneficial </w:t>
      </w:r>
    </w:p>
    <w:p w14:paraId="7E7B6EEC" w14:textId="7942792A" w:rsidR="00915140" w:rsidRPr="00393913" w:rsidRDefault="00915140" w:rsidP="00957EBC">
      <w:pPr>
        <w:pStyle w:val="ListParagraph"/>
        <w:numPr>
          <w:ilvl w:val="0"/>
          <w:numId w:val="47"/>
        </w:numPr>
        <w:spacing w:after="0" w:line="240" w:lineRule="auto"/>
        <w:contextualSpacing w:val="0"/>
      </w:pPr>
      <w:r w:rsidRPr="00ED02EE">
        <w:t>Scheduling multiple TTIs for PUSCH using a single UL grant is identified as beneficial and should be supported in NR-U</w:t>
      </w:r>
    </w:p>
    <w:p w14:paraId="103F37E2" w14:textId="062F3B85" w:rsidR="00D96AF0" w:rsidRPr="005F5662" w:rsidRDefault="00D96AF0" w:rsidP="005F5662">
      <w:pPr>
        <w:pStyle w:val="LGTdoc"/>
        <w:spacing w:before="20" w:afterLines="0" w:line="240" w:lineRule="auto"/>
        <w:rPr>
          <w:sz w:val="20"/>
          <w:szCs w:val="20"/>
        </w:rPr>
      </w:pPr>
      <w:r w:rsidRPr="005F5662">
        <w:rPr>
          <w:sz w:val="20"/>
          <w:szCs w:val="20"/>
        </w:rPr>
        <w:t xml:space="preserve">In this contribution, we present </w:t>
      </w:r>
      <w:r w:rsidR="005F5662" w:rsidRPr="005F5662">
        <w:rPr>
          <w:sz w:val="20"/>
          <w:szCs w:val="20"/>
        </w:rPr>
        <w:t xml:space="preserve">our views on </w:t>
      </w:r>
      <w:r w:rsidR="00915140">
        <w:rPr>
          <w:sz w:val="20"/>
          <w:szCs w:val="20"/>
        </w:rPr>
        <w:t xml:space="preserve">some of the remaining aspects of HARQ operation. </w:t>
      </w:r>
    </w:p>
    <w:p w14:paraId="5E68BC46" w14:textId="5914A3BB" w:rsidR="002F7285" w:rsidRDefault="008C50B2" w:rsidP="00AD5768">
      <w:pPr>
        <w:pStyle w:val="Heading1"/>
      </w:pPr>
      <w:r>
        <w:t>PDSCH</w:t>
      </w:r>
      <w:r w:rsidR="00175960">
        <w:t>/PUSCH</w:t>
      </w:r>
      <w:r>
        <w:t xml:space="preserve"> Scheduling</w:t>
      </w:r>
    </w:p>
    <w:p w14:paraId="672C6AC9" w14:textId="3E04C874" w:rsidR="00741165" w:rsidRDefault="00741165" w:rsidP="00741165">
      <w:r>
        <w:t xml:space="preserve">In unlicensed operation it is quite likely that there </w:t>
      </w:r>
      <w:r w:rsidR="00433158">
        <w:t>is</w:t>
      </w:r>
      <w:r>
        <w:t xml:space="preserve"> a long string of DL </w:t>
      </w:r>
      <w:r w:rsidR="00C51159">
        <w:t>slots</w:t>
      </w:r>
      <w:r>
        <w:t xml:space="preserve"> followed by a long string of UL </w:t>
      </w:r>
      <w:r w:rsidR="00C51159">
        <w:t>slots</w:t>
      </w:r>
      <w:r>
        <w:t xml:space="preserve">. Such a TxOP structure avoids frequent switches between DL and UL which </w:t>
      </w:r>
      <w:r w:rsidR="00297D03">
        <w:t xml:space="preserve">in some cases </w:t>
      </w:r>
      <w:r>
        <w:t>involve</w:t>
      </w:r>
      <w:r w:rsidR="00433158">
        <w:t>s</w:t>
      </w:r>
      <w:r>
        <w:t xml:space="preserve"> LBT gaps and can lead to potential loss of </w:t>
      </w:r>
      <w:r w:rsidR="00297D03">
        <w:t>the medium. This includes switching</w:t>
      </w:r>
      <w:r w:rsidR="00C51159">
        <w:t xml:space="preserve"> from DL</w:t>
      </w:r>
      <w:r w:rsidR="00297D03">
        <w:t xml:space="preserve"> to UL for HARQ ACK feedback.</w:t>
      </w:r>
      <w:r w:rsidR="005D49B9" w:rsidRPr="005D49B9">
        <w:t xml:space="preserve"> </w:t>
      </w:r>
      <w:r w:rsidR="005D49B9">
        <w:t>Furthermore</w:t>
      </w:r>
      <w:r w:rsidR="00C51159">
        <w:t>,</w:t>
      </w:r>
      <w:r w:rsidR="005D49B9">
        <w:t xml:space="preserve"> with use of min</w:t>
      </w:r>
      <w:r w:rsidR="00393913">
        <w:t>i</w:t>
      </w:r>
      <w:r w:rsidR="005D49B9">
        <w:t xml:space="preserve">-slots and slots with larger SCS, such as 60KHz for sub 7 GHz the number of required HARQ processes can get quite </w:t>
      </w:r>
      <w:r w:rsidR="005D49B9">
        <w:lastRenderedPageBreak/>
        <w:t>large.</w:t>
      </w:r>
      <w:r w:rsidR="00297D03">
        <w:t xml:space="preserve"> The number of HARQ processes will have to be designed to consider such long streak of DL only or UL only </w:t>
      </w:r>
      <w:r w:rsidR="00433158">
        <w:t>slots</w:t>
      </w:r>
      <w:r w:rsidR="00297D03">
        <w:t xml:space="preserve">. </w:t>
      </w:r>
      <w:r w:rsidR="005D49B9">
        <w:t>An example of this is shown in</w:t>
      </w:r>
      <w:r w:rsidR="00A75548">
        <w:t xml:space="preserve"> </w:t>
      </w:r>
      <w:r w:rsidR="005D49B9">
        <w:fldChar w:fldCharType="begin"/>
      </w:r>
      <w:r w:rsidR="005D49B9">
        <w:instrText xml:space="preserve"> REF _Ref513489512 \h </w:instrText>
      </w:r>
      <w:r w:rsidR="005D49B9">
        <w:fldChar w:fldCharType="separate"/>
      </w:r>
      <w:r w:rsidR="009F189E">
        <w:t xml:space="preserve">Figure </w:t>
      </w:r>
      <w:r w:rsidR="009F189E">
        <w:rPr>
          <w:noProof/>
        </w:rPr>
        <w:t>1</w:t>
      </w:r>
      <w:r w:rsidR="005D49B9">
        <w:fldChar w:fldCharType="end"/>
      </w:r>
      <w:r w:rsidR="00C51159">
        <w:t xml:space="preserve"> where with a</w:t>
      </w:r>
      <w:r w:rsidR="00393913">
        <w:t>n</w:t>
      </w:r>
      <w:r w:rsidR="00C51159">
        <w:t xml:space="preserve"> </w:t>
      </w:r>
      <w:r w:rsidR="005B4F6E">
        <w:t>8</w:t>
      </w:r>
      <w:r w:rsidR="00C51159">
        <w:t xml:space="preserve">ms DL portion in a TxOP, we need at least </w:t>
      </w:r>
      <w:r w:rsidR="005B4F6E">
        <w:t>8</w:t>
      </w:r>
      <w:r w:rsidR="00C51159">
        <w:t xml:space="preserve"> HARQ processes for 15Khz SCS but with 60KHz SCS the number of required HARQ processes </w:t>
      </w:r>
      <w:r w:rsidR="00A75548">
        <w:t xml:space="preserve">to fill in the </w:t>
      </w:r>
      <w:r w:rsidR="005B4F6E">
        <w:t>8</w:t>
      </w:r>
      <w:r w:rsidR="00A75548">
        <w:t xml:space="preserve">ms </w:t>
      </w:r>
      <w:r w:rsidR="005B4F6E">
        <w:t xml:space="preserve">DL portion of the </w:t>
      </w:r>
      <w:r w:rsidR="00A75548">
        <w:t xml:space="preserve">TxOP </w:t>
      </w:r>
      <w:r w:rsidR="00C51159">
        <w:t xml:space="preserve">increases to </w:t>
      </w:r>
      <w:r w:rsidR="005B4F6E">
        <w:t>3</w:t>
      </w:r>
      <w:r w:rsidR="00C51159">
        <w:t>2</w:t>
      </w:r>
      <w:r w:rsidR="005D49B9">
        <w:t>. Note that the larger SCS is also desirable as it provides more start opportunities for the TxOP and hence improves the medium access probability and reduces LBT pass and slot boundary mis-alignment related overhead.</w:t>
      </w:r>
      <w:r w:rsidR="00A75548">
        <w:t xml:space="preserve"> </w:t>
      </w:r>
    </w:p>
    <w:p w14:paraId="292798C9" w14:textId="2C36A0F0" w:rsidR="005D49B9" w:rsidRDefault="005B4F6E" w:rsidP="005D49B9">
      <w:pPr>
        <w:keepNext/>
        <w:jc w:val="center"/>
      </w:pPr>
      <w:r>
        <w:object w:dxaOrig="10508" w:dyaOrig="6028" w14:anchorId="0B14C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25.5pt" o:ole="">
            <v:imagedata r:id="rId12" o:title=""/>
          </v:shape>
          <o:OLEObject Type="Embed" ProgID="Visio.Drawing.11" ShapeID="_x0000_i1025" DrawAspect="Content" ObjectID="_1595425639" r:id="rId13"/>
        </w:object>
      </w:r>
    </w:p>
    <w:p w14:paraId="416ACAD6" w14:textId="17B2C207" w:rsidR="005D49B9" w:rsidRDefault="005D49B9" w:rsidP="005D49B9">
      <w:pPr>
        <w:pStyle w:val="Caption"/>
        <w:jc w:val="center"/>
      </w:pPr>
      <w:bookmarkStart w:id="1" w:name="_Ref513489512"/>
      <w:bookmarkStart w:id="2" w:name="_Ref513489499"/>
      <w:r>
        <w:t xml:space="preserve">Figure </w:t>
      </w:r>
      <w:r>
        <w:fldChar w:fldCharType="begin"/>
      </w:r>
      <w:r>
        <w:instrText xml:space="preserve"> SEQ Figure \* ARABIC </w:instrText>
      </w:r>
      <w:r>
        <w:fldChar w:fldCharType="separate"/>
      </w:r>
      <w:r w:rsidR="009F189E">
        <w:rPr>
          <w:noProof/>
        </w:rPr>
        <w:t>1</w:t>
      </w:r>
      <w:r>
        <w:fldChar w:fldCharType="end"/>
      </w:r>
      <w:bookmarkEnd w:id="1"/>
      <w:r>
        <w:t>: Number of HARQ processes for NR-U with larger SCS</w:t>
      </w:r>
      <w:bookmarkEnd w:id="2"/>
    </w:p>
    <w:p w14:paraId="1B909C5B" w14:textId="77777777" w:rsidR="00175960" w:rsidRDefault="00175960" w:rsidP="00175960">
      <w:r>
        <w:t>In general, increasing the number of HARQ processes per cell has difficult software and hardware implementation implications. It will be preferred if an alternative approach can be used that takes advantage of the existing UE NR capability.</w:t>
      </w:r>
    </w:p>
    <w:p w14:paraId="333B070C" w14:textId="78DF76A6" w:rsidR="00297D03" w:rsidRDefault="00297D03" w:rsidP="00741165">
      <w:r>
        <w:t xml:space="preserve">One way to mitigate </w:t>
      </w:r>
      <w:r w:rsidR="005D49B9">
        <w:t>the increase in the number of HARQ processes</w:t>
      </w:r>
      <w:r>
        <w:t xml:space="preserve"> is to allow a single grant to schedule </w:t>
      </w:r>
      <w:r w:rsidR="00DD1951">
        <w:t xml:space="preserve">a single TB </w:t>
      </w:r>
      <w:r>
        <w:t>over</w:t>
      </w:r>
      <w:r w:rsidR="00175960">
        <w:t xml:space="preserve"> </w:t>
      </w:r>
      <w:r>
        <w:t>multiple slots</w:t>
      </w:r>
      <w:r w:rsidR="00DD1951">
        <w:t>.</w:t>
      </w:r>
      <w:r w:rsidR="005D49B9" w:rsidRPr="005D49B9">
        <w:t xml:space="preserve"> </w:t>
      </w:r>
      <w:r w:rsidR="005D49B9">
        <w:t xml:space="preserve">In </w:t>
      </w:r>
      <w:r w:rsidR="005D49B9">
        <w:fldChar w:fldCharType="begin"/>
      </w:r>
      <w:r w:rsidR="005D49B9">
        <w:instrText xml:space="preserve"> REF _Ref513489512 \h </w:instrText>
      </w:r>
      <w:r w:rsidR="005D49B9">
        <w:fldChar w:fldCharType="separate"/>
      </w:r>
      <w:r w:rsidR="009F189E">
        <w:t xml:space="preserve">Figure </w:t>
      </w:r>
      <w:r w:rsidR="009F189E">
        <w:rPr>
          <w:noProof/>
        </w:rPr>
        <w:t>1</w:t>
      </w:r>
      <w:r w:rsidR="005D49B9">
        <w:fldChar w:fldCharType="end"/>
      </w:r>
      <w:r w:rsidR="005D49B9">
        <w:t xml:space="preserve">, for example, with multi-slot grants that span 2 slots, the number of </w:t>
      </w:r>
      <w:r w:rsidR="00C51159">
        <w:t xml:space="preserve">required </w:t>
      </w:r>
      <w:r w:rsidR="005D49B9">
        <w:t xml:space="preserve">HARQ processes </w:t>
      </w:r>
      <w:r w:rsidR="00C51159">
        <w:t>reduces by a factor of two</w:t>
      </w:r>
      <w:r w:rsidR="005D49B9">
        <w:t>.</w:t>
      </w:r>
      <w:r w:rsidR="00DD1951">
        <w:t xml:space="preserve"> The TB size </w:t>
      </w:r>
      <w:r w:rsidR="005D49B9">
        <w:t>with the multi-slot grant</w:t>
      </w:r>
      <w:r w:rsidR="00DD1951">
        <w:t xml:space="preserve"> sho</w:t>
      </w:r>
      <w:r w:rsidR="005D49B9">
        <w:t>uld</w:t>
      </w:r>
      <w:r w:rsidR="00DD1951">
        <w:t xml:space="preserve"> scale proportionally with the number of slots and </w:t>
      </w:r>
      <w:r>
        <w:t>the TB s</w:t>
      </w:r>
      <w:r w:rsidR="00DD1951">
        <w:t>hould be</w:t>
      </w:r>
      <w:r>
        <w:t xml:space="preserve"> rate-matched over multiple slots</w:t>
      </w:r>
      <w:r w:rsidR="00DD1951">
        <w:t xml:space="preserve"> (rather than rate-matched for one slot and repeated </w:t>
      </w:r>
      <w:r w:rsidR="005D49B9">
        <w:t xml:space="preserve">over multiple slots </w:t>
      </w:r>
      <w:r w:rsidR="00DD1951">
        <w:t>which may have link-level performance losses)</w:t>
      </w:r>
      <w:r>
        <w:t>.</w:t>
      </w:r>
      <w:r w:rsidR="00DD1951">
        <w:t xml:space="preserve"> Such </w:t>
      </w:r>
      <w:r w:rsidR="00C51159">
        <w:t xml:space="preserve">multi-slot </w:t>
      </w:r>
      <w:r w:rsidR="00DD1951">
        <w:t xml:space="preserve">grants will help control </w:t>
      </w:r>
      <w:r w:rsidR="00915140">
        <w:t xml:space="preserve">the </w:t>
      </w:r>
      <w:r w:rsidR="00DD1951">
        <w:t xml:space="preserve">DL overhead for PDCCH as well as </w:t>
      </w:r>
      <w:r w:rsidR="00915140">
        <w:t xml:space="preserve">the </w:t>
      </w:r>
      <w:r w:rsidR="00DD1951">
        <w:t>UL overhead for HARQ ACK feedback.</w:t>
      </w:r>
      <w:r w:rsidR="005D49B9">
        <w:t xml:space="preserve"> These of</w:t>
      </w:r>
      <w:r w:rsidR="00C51159">
        <w:t xml:space="preserve"> </w:t>
      </w:r>
      <w:r w:rsidR="005D49B9">
        <w:t>course apply to both PDSCH and PUSCH scheduling.</w:t>
      </w:r>
    </w:p>
    <w:p w14:paraId="27446394" w14:textId="7EE5DEBD" w:rsidR="00297D03" w:rsidRPr="00DD1951" w:rsidRDefault="00297D03" w:rsidP="00297D03">
      <w:pPr>
        <w:rPr>
          <w:b/>
        </w:rPr>
      </w:pPr>
      <w:bookmarkStart w:id="3" w:name="P1"/>
      <w:r w:rsidRPr="00DD1951">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9F189E">
        <w:rPr>
          <w:b/>
          <w:noProof/>
          <w:u w:val="single"/>
        </w:rPr>
        <w:t>1</w:t>
      </w:r>
      <w:r w:rsidR="002614F6">
        <w:rPr>
          <w:b/>
          <w:u w:val="single"/>
        </w:rPr>
        <w:fldChar w:fldCharType="end"/>
      </w:r>
      <w:r w:rsidRPr="00DD1951">
        <w:rPr>
          <w:b/>
          <w:u w:val="single"/>
        </w:rPr>
        <w:t>:</w:t>
      </w:r>
      <w:r w:rsidRPr="00DD1951">
        <w:rPr>
          <w:b/>
        </w:rPr>
        <w:t xml:space="preserve"> Introduce </w:t>
      </w:r>
      <w:r w:rsidR="005D49B9">
        <w:rPr>
          <w:b/>
        </w:rPr>
        <w:t>multi-slot grants with</w:t>
      </w:r>
      <w:r w:rsidRPr="00DD1951">
        <w:rPr>
          <w:b/>
        </w:rPr>
        <w:t xml:space="preserve"> the TB</w:t>
      </w:r>
      <w:r w:rsidR="00DD1951" w:rsidRPr="00DD1951">
        <w:rPr>
          <w:b/>
        </w:rPr>
        <w:t>(s)</w:t>
      </w:r>
      <w:r w:rsidRPr="00DD1951">
        <w:rPr>
          <w:b/>
        </w:rPr>
        <w:t xml:space="preserve"> rate matched </w:t>
      </w:r>
      <w:r w:rsidR="00DD1951" w:rsidRPr="00DD1951">
        <w:rPr>
          <w:b/>
        </w:rPr>
        <w:t>jointly across the multiple allocated slots</w:t>
      </w:r>
    </w:p>
    <w:bookmarkEnd w:id="3"/>
    <w:p w14:paraId="02A3BF82" w14:textId="77777777" w:rsidR="005B4F6E" w:rsidRDefault="00A022A3" w:rsidP="00A022A3">
      <w:r>
        <w:t xml:space="preserve">NR provides flexibility in the UL grant to specify a delay between the PDCCH and PUSCH </w:t>
      </w:r>
      <w:r w:rsidR="003E22DE">
        <w:t xml:space="preserve">as part of the time domain resource assignment </w:t>
      </w:r>
      <w:r>
        <w:t xml:space="preserve">which is a key requirement for enabling efficient unlicensed operation. One may consider enhancing the number of bits for the delay field to have more scheduling flexibility. </w:t>
      </w:r>
    </w:p>
    <w:p w14:paraId="39E11182" w14:textId="14EF7DC0" w:rsidR="005B4F6E" w:rsidRPr="00D336D3" w:rsidRDefault="005B4F6E" w:rsidP="005B4F6E">
      <w:pPr>
        <w:rPr>
          <w:b/>
        </w:rPr>
      </w:pPr>
      <w:bookmarkStart w:id="4" w:name="p2"/>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9F189E">
        <w:rPr>
          <w:b/>
          <w:noProof/>
          <w:u w:val="single"/>
        </w:rPr>
        <w:t>2</w:t>
      </w:r>
      <w:r>
        <w:rPr>
          <w:b/>
          <w:u w:val="single"/>
        </w:rPr>
        <w:fldChar w:fldCharType="end"/>
      </w:r>
      <w:r w:rsidRPr="00D336D3">
        <w:rPr>
          <w:b/>
          <w:u w:val="single"/>
        </w:rPr>
        <w:t>:</w:t>
      </w:r>
      <w:r w:rsidRPr="00D336D3">
        <w:rPr>
          <w:b/>
        </w:rPr>
        <w:t xml:space="preserve"> Number of bits in the UL PUSCH </w:t>
      </w:r>
      <w:r>
        <w:rPr>
          <w:b/>
        </w:rPr>
        <w:t>time domain resource assignment field</w:t>
      </w:r>
      <w:r w:rsidRPr="00D336D3">
        <w:rPr>
          <w:b/>
        </w:rPr>
        <w:t xml:space="preserve"> are increased</w:t>
      </w:r>
    </w:p>
    <w:bookmarkEnd w:id="4"/>
    <w:p w14:paraId="20785EE2" w14:textId="184BB74F" w:rsidR="00A022A3" w:rsidRDefault="005B4F6E" w:rsidP="00A022A3">
      <w:r>
        <w:t>In RAN1#93,</w:t>
      </w:r>
      <w:r w:rsidR="00A022A3">
        <w:t xml:space="preserve"> </w:t>
      </w:r>
      <w:r>
        <w:t xml:space="preserve">it was agreed </w:t>
      </w:r>
      <w:r w:rsidR="00A022A3">
        <w:t>to introduce multi-TTI UL grant. In unlicensed operation, to avoid frequent DL to UL switches (which may need LBT gap each time) the gNB may just schedule the same set of UE on multiple back to back slots. Having a multi-TTI UL grant enables this to be done in an efficient manner</w:t>
      </w:r>
      <w:r w:rsidR="001244C6">
        <w:t xml:space="preserve"> as it reduces the number of UL grants and the number of slots for just scheduling PUSCH</w:t>
      </w:r>
      <w:r w:rsidR="00A022A3">
        <w:t>.</w:t>
      </w:r>
    </w:p>
    <w:p w14:paraId="44DCCE5B" w14:textId="0B21D4E0" w:rsidR="00A022A3" w:rsidRDefault="00A022A3" w:rsidP="00A022A3">
      <w:r>
        <w:t xml:space="preserve">To enable more LBT opportunities for the UE, it may also be desirable for the multi-TTI grant to support mini-slot type grant at the beginning which switches to full slot grant at slot boundaries. </w:t>
      </w:r>
      <w:r w:rsidR="009946AF">
        <w:t xml:space="preserve">Some examples of how the multi-TTI grant would operate with LBT and with mix of mini-slots and full slots is shown </w:t>
      </w:r>
      <w:r w:rsidR="00896CB0">
        <w:t xml:space="preserve">in </w:t>
      </w:r>
      <w:r w:rsidR="00896CB0">
        <w:fldChar w:fldCharType="begin"/>
      </w:r>
      <w:r w:rsidR="00896CB0">
        <w:instrText xml:space="preserve"> REF _Ref513638859 \h </w:instrText>
      </w:r>
      <w:r w:rsidR="00896CB0">
        <w:fldChar w:fldCharType="separate"/>
      </w:r>
      <w:r w:rsidR="009F189E">
        <w:t xml:space="preserve">Figure </w:t>
      </w:r>
      <w:r w:rsidR="009F189E">
        <w:rPr>
          <w:noProof/>
        </w:rPr>
        <w:t>2</w:t>
      </w:r>
      <w:r w:rsidR="00896CB0">
        <w:fldChar w:fldCharType="end"/>
      </w:r>
      <w:r w:rsidR="009946AF">
        <w:t>.</w:t>
      </w:r>
    </w:p>
    <w:p w14:paraId="26B289B4" w14:textId="77777777" w:rsidR="009946AF" w:rsidRDefault="001244C6" w:rsidP="009946AF">
      <w:pPr>
        <w:keepNext/>
        <w:jc w:val="center"/>
      </w:pPr>
      <w:r>
        <w:object w:dxaOrig="11427" w:dyaOrig="6427" w14:anchorId="6833A61C">
          <v:shape id="_x0000_i1026" type="#_x0000_t75" style="width:425pt;height:238pt" o:ole="">
            <v:imagedata r:id="rId14" o:title=""/>
          </v:shape>
          <o:OLEObject Type="Embed" ProgID="Visio.Drawing.11" ShapeID="_x0000_i1026" DrawAspect="Content" ObjectID="_1595425640" r:id="rId15"/>
        </w:object>
      </w:r>
    </w:p>
    <w:p w14:paraId="65E5531F" w14:textId="4443488F" w:rsidR="00A022A3" w:rsidRDefault="009946AF" w:rsidP="009946AF">
      <w:pPr>
        <w:pStyle w:val="Caption"/>
        <w:jc w:val="center"/>
      </w:pPr>
      <w:bookmarkStart w:id="5" w:name="_Ref513638859"/>
      <w:bookmarkStart w:id="6" w:name="_Ref513638854"/>
      <w:r>
        <w:t xml:space="preserve">Figure </w:t>
      </w:r>
      <w:r>
        <w:fldChar w:fldCharType="begin"/>
      </w:r>
      <w:r>
        <w:instrText xml:space="preserve"> SEQ Figure \* ARABIC </w:instrText>
      </w:r>
      <w:r>
        <w:fldChar w:fldCharType="separate"/>
      </w:r>
      <w:r w:rsidR="009F189E">
        <w:rPr>
          <w:noProof/>
        </w:rPr>
        <w:t>2</w:t>
      </w:r>
      <w:r>
        <w:fldChar w:fldCharType="end"/>
      </w:r>
      <w:bookmarkEnd w:id="5"/>
      <w:r>
        <w:t>: Examples of operation with Multi-TTI grant</w:t>
      </w:r>
      <w:bookmarkEnd w:id="6"/>
    </w:p>
    <w:p w14:paraId="29B2B2D7" w14:textId="77777777" w:rsidR="00A022A3" w:rsidRDefault="00A022A3" w:rsidP="00A022A3">
      <w:r>
        <w:t xml:space="preserve">The multi-TTI grant should also support CBG based retransmission. To avoid significantly increasing the DCI payload size with multi-TTI grant, compression schemes for the CBG based retransmission indication should be considered. </w:t>
      </w:r>
    </w:p>
    <w:p w14:paraId="088A0C95" w14:textId="3CF5E590" w:rsidR="00A022A3" w:rsidRPr="00D336D3" w:rsidRDefault="00A022A3" w:rsidP="00A022A3">
      <w:pPr>
        <w:rPr>
          <w:b/>
        </w:rPr>
      </w:pPr>
      <w:bookmarkStart w:id="7" w:name="P3"/>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9F189E">
        <w:rPr>
          <w:b/>
          <w:noProof/>
          <w:u w:val="single"/>
        </w:rPr>
        <w:t>3</w:t>
      </w:r>
      <w:r>
        <w:rPr>
          <w:b/>
          <w:u w:val="single"/>
        </w:rPr>
        <w:fldChar w:fldCharType="end"/>
      </w:r>
      <w:r w:rsidRPr="00D336D3">
        <w:rPr>
          <w:b/>
          <w:u w:val="single"/>
        </w:rPr>
        <w:t>:</w:t>
      </w:r>
      <w:r w:rsidRPr="00D336D3">
        <w:rPr>
          <w:b/>
        </w:rPr>
        <w:t xml:space="preserve"> The multi-TTI grants should include support for transmitting mini-slots in the initial portion of the transmission followed by </w:t>
      </w:r>
      <w:r>
        <w:rPr>
          <w:b/>
        </w:rPr>
        <w:t xml:space="preserve">switching to </w:t>
      </w:r>
      <w:r w:rsidRPr="00D336D3">
        <w:rPr>
          <w:b/>
        </w:rPr>
        <w:t>full slot at slot boundaries.</w:t>
      </w:r>
    </w:p>
    <w:p w14:paraId="331164A8" w14:textId="544CB560" w:rsidR="00A022A3" w:rsidRDefault="00A022A3" w:rsidP="00A022A3">
      <w:pPr>
        <w:rPr>
          <w:b/>
        </w:rPr>
      </w:pPr>
      <w:bookmarkStart w:id="8" w:name="P4"/>
      <w:bookmarkEnd w:id="7"/>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9F189E">
        <w:rPr>
          <w:b/>
          <w:noProof/>
          <w:u w:val="single"/>
        </w:rPr>
        <w:t>4</w:t>
      </w:r>
      <w:r>
        <w:rPr>
          <w:b/>
          <w:u w:val="single"/>
        </w:rPr>
        <w:fldChar w:fldCharType="end"/>
      </w:r>
      <w:r w:rsidRPr="00D336D3">
        <w:rPr>
          <w:b/>
          <w:u w:val="single"/>
        </w:rPr>
        <w:t>:</w:t>
      </w:r>
      <w:r w:rsidRPr="00D336D3">
        <w:rPr>
          <w:b/>
        </w:rPr>
        <w:t xml:space="preserve"> The multi-TTI grants should </w:t>
      </w:r>
      <w:r w:rsidR="00C15512">
        <w:rPr>
          <w:b/>
        </w:rPr>
        <w:t xml:space="preserve">also </w:t>
      </w:r>
      <w:r>
        <w:rPr>
          <w:b/>
        </w:rPr>
        <w:t>support CBG based retransmissions</w:t>
      </w:r>
    </w:p>
    <w:bookmarkEnd w:id="8"/>
    <w:p w14:paraId="0F648734" w14:textId="0E61792E" w:rsidR="00D07B87" w:rsidRDefault="003931B3" w:rsidP="00393913">
      <w:pPr>
        <w:keepNext/>
        <w:jc w:val="center"/>
      </w:pPr>
      <w:r>
        <w:rPr>
          <w:b/>
        </w:rPr>
        <w:object w:dxaOrig="17031" w:dyaOrig="7656" w14:anchorId="07EED88C">
          <v:shape id="_x0000_i1027" type="#_x0000_t75" style="width:414pt;height:186pt" o:ole="">
            <v:imagedata r:id="rId16" o:title=""/>
          </v:shape>
          <o:OLEObject Type="Embed" ProgID="Visio.Drawing.11" ShapeID="_x0000_i1027" DrawAspect="Content" ObjectID="_1595425641" r:id="rId17"/>
        </w:object>
      </w:r>
    </w:p>
    <w:p w14:paraId="235BEC89" w14:textId="2347854C" w:rsidR="00CA61C5" w:rsidRDefault="00D07B87" w:rsidP="00393913">
      <w:pPr>
        <w:pStyle w:val="Caption"/>
        <w:jc w:val="center"/>
      </w:pPr>
      <w:bookmarkStart w:id="9" w:name="_Ref521327881"/>
      <w:r>
        <w:t xml:space="preserve">Figure </w:t>
      </w:r>
      <w:r>
        <w:fldChar w:fldCharType="begin"/>
      </w:r>
      <w:r>
        <w:instrText xml:space="preserve"> SEQ Figure \* ARABIC </w:instrText>
      </w:r>
      <w:r>
        <w:fldChar w:fldCharType="separate"/>
      </w:r>
      <w:r w:rsidR="009F189E">
        <w:rPr>
          <w:noProof/>
        </w:rPr>
        <w:t>3</w:t>
      </w:r>
      <w:r>
        <w:fldChar w:fldCharType="end"/>
      </w:r>
      <w:bookmarkEnd w:id="9"/>
      <w:r>
        <w:t>: Two-stage grant for scheduling PUSCH</w:t>
      </w:r>
    </w:p>
    <w:p w14:paraId="62238F38" w14:textId="01D4A85D" w:rsidR="001D7AA3" w:rsidRDefault="001D7AA3" w:rsidP="00A022A3">
      <w:r>
        <w:t xml:space="preserve">As shown in </w:t>
      </w:r>
      <w:r>
        <w:fldChar w:fldCharType="begin"/>
      </w:r>
      <w:r>
        <w:instrText xml:space="preserve"> REF _Ref521327881 \h </w:instrText>
      </w:r>
      <w:r>
        <w:fldChar w:fldCharType="separate"/>
      </w:r>
      <w:r w:rsidR="009F189E">
        <w:t xml:space="preserve">Figure </w:t>
      </w:r>
      <w:r w:rsidR="009F189E">
        <w:rPr>
          <w:noProof/>
        </w:rPr>
        <w:t>3</w:t>
      </w:r>
      <w:r>
        <w:fldChar w:fldCharType="end"/>
      </w:r>
      <w:r>
        <w:t>, d</w:t>
      </w:r>
      <w:r w:rsidR="00D07B87">
        <w:t>ue to the delay between the UL grant sent in PDCCH in DL and the PUSCH transmission</w:t>
      </w:r>
      <w:r>
        <w:t xml:space="preserve"> in UL</w:t>
      </w:r>
      <w:r w:rsidR="00D07B87">
        <w:t xml:space="preserve">, a node winning the </w:t>
      </w:r>
      <w:r>
        <w:t xml:space="preserve">medium </w:t>
      </w:r>
      <w:r w:rsidR="00D07B87">
        <w:t>could still lose it prior to the UL transmission.</w:t>
      </w:r>
      <w:r>
        <w:t xml:space="preserve"> The delay itself is necessary as the UE has to decode the PDCCH to detect a grant and then it has to prepare the packet for PUSCH transmission.</w:t>
      </w:r>
      <w:r w:rsidR="00D07B87" w:rsidRPr="00D07B87">
        <w:t xml:space="preserve"> </w:t>
      </w:r>
      <w:r w:rsidR="00CA61C5" w:rsidRPr="00393913">
        <w:t xml:space="preserve">In </w:t>
      </w:r>
      <w:r w:rsidR="00D07B87">
        <w:t>eLAA a two-stage grant was introduced for PUSCH</w:t>
      </w:r>
      <w:r w:rsidR="00CA61C5">
        <w:t xml:space="preserve"> scheduling</w:t>
      </w:r>
      <w:r w:rsidR="00D07B87">
        <w:t xml:space="preserve"> to address this issue</w:t>
      </w:r>
      <w:r w:rsidR="00CA61C5">
        <w:t>.</w:t>
      </w:r>
      <w:r w:rsidR="00D07B87">
        <w:t xml:space="preserve"> </w:t>
      </w:r>
      <w:r>
        <w:t xml:space="preserve">As shown in </w:t>
      </w:r>
      <w:r>
        <w:fldChar w:fldCharType="begin"/>
      </w:r>
      <w:r>
        <w:instrText xml:space="preserve"> REF _Ref521327881 \h </w:instrText>
      </w:r>
      <w:r>
        <w:fldChar w:fldCharType="separate"/>
      </w:r>
      <w:r w:rsidR="009F189E">
        <w:t xml:space="preserve">Figure </w:t>
      </w:r>
      <w:r w:rsidR="009F189E">
        <w:rPr>
          <w:noProof/>
        </w:rPr>
        <w:t>3</w:t>
      </w:r>
      <w:r>
        <w:fldChar w:fldCharType="end"/>
      </w:r>
      <w:r>
        <w:t xml:space="preserve">, the two-stage grant splits the PUSCH scheduling is two parts. A first grant provided the trigger to prepare the PUSCH. A second grant asks it to transmit the PUSCH. Since the UE already has the PUSCH packet prepared prior to the second grant, the delay </w:t>
      </w:r>
      <w:r w:rsidR="00393913">
        <w:t xml:space="preserve">from end of second grant </w:t>
      </w:r>
      <w:r>
        <w:t xml:space="preserve">to PUSCH </w:t>
      </w:r>
      <w:r w:rsidR="00393913">
        <w:t>transmission</w:t>
      </w:r>
      <w:r>
        <w:t xml:space="preserve"> is thus reduced.</w:t>
      </w:r>
    </w:p>
    <w:p w14:paraId="1B4FC6AC" w14:textId="65A5A02C" w:rsidR="00CA61C5" w:rsidRDefault="00CA61C5" w:rsidP="00A022A3">
      <w:r>
        <w:t xml:space="preserve"> For NR PUSCH timing capability 1, th</w:t>
      </w:r>
      <w:r w:rsidR="001D7AA3">
        <w:t>e PDCCH to PUSCH</w:t>
      </w:r>
      <w:r>
        <w:t xml:space="preserve"> delay is 10 symbols (~710us) for 15KHz SCS and 12 symbols (~430us) for 30KHz SCS. Although this gap is much smaller than what LAA had between the PDCCH and PUSCH, the delay is still very large</w:t>
      </w:r>
      <w:r w:rsidR="00D07B87">
        <w:t xml:space="preserve"> compared to the duration needed for cat-4 LBT</w:t>
      </w:r>
      <w:r>
        <w:t>. For example</w:t>
      </w:r>
      <w:r w:rsidR="00D07B87">
        <w:t>,</w:t>
      </w:r>
      <w:r>
        <w:t xml:space="preserve"> a node with contention window of 16, in absence of other interferers, would complete its cat-4 LBT in at most 205us which is much smaller than the PDCCH to </w:t>
      </w:r>
      <w:r>
        <w:lastRenderedPageBreak/>
        <w:t>PUSCH delay in NR.</w:t>
      </w:r>
      <w:r w:rsidR="00D07B87">
        <w:t xml:space="preserve"> This can thus lead to consistent loss of medium to neighbouring nodes. Hence</w:t>
      </w:r>
      <w:r w:rsidR="001D7AA3">
        <w:t>,</w:t>
      </w:r>
      <w:r w:rsidR="00D07B87">
        <w:t xml:space="preserve"> we propose that two-stage grant </w:t>
      </w:r>
      <w:r w:rsidR="001D7AA3">
        <w:t xml:space="preserve">should </w:t>
      </w:r>
      <w:r w:rsidR="00D07B87">
        <w:t>also be supported in NR-U.</w:t>
      </w:r>
    </w:p>
    <w:p w14:paraId="190DCF1F" w14:textId="2E77AC37" w:rsidR="00D07B87" w:rsidRDefault="00D07B87" w:rsidP="00D07B87">
      <w:pPr>
        <w:rPr>
          <w:b/>
        </w:rPr>
      </w:pPr>
      <w:bookmarkStart w:id="10" w:name="p5"/>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9F189E">
        <w:rPr>
          <w:b/>
          <w:noProof/>
          <w:u w:val="single"/>
        </w:rPr>
        <w:t>5</w:t>
      </w:r>
      <w:r>
        <w:rPr>
          <w:b/>
          <w:u w:val="single"/>
        </w:rPr>
        <w:fldChar w:fldCharType="end"/>
      </w:r>
      <w:r w:rsidRPr="00D336D3">
        <w:rPr>
          <w:b/>
          <w:u w:val="single"/>
        </w:rPr>
        <w:t>:</w:t>
      </w:r>
      <w:r w:rsidRPr="00D336D3">
        <w:rPr>
          <w:b/>
        </w:rPr>
        <w:t xml:space="preserve"> T</w:t>
      </w:r>
      <w:r>
        <w:rPr>
          <w:b/>
        </w:rPr>
        <w:t>wo-stage grant where a first grant gives the parameters necessary for PUSCH transmission preparation and a second grant that provides the trigger for PUSCH transmission should be supported for scheduling PUSCH.</w:t>
      </w:r>
    </w:p>
    <w:bookmarkEnd w:id="10"/>
    <w:p w14:paraId="2321219B" w14:textId="0ECCC963" w:rsidR="002F7285" w:rsidRDefault="002F7285" w:rsidP="00AD5768">
      <w:pPr>
        <w:pStyle w:val="Heading1"/>
      </w:pPr>
      <w:r>
        <w:t>HARQ ACK Feedback</w:t>
      </w:r>
    </w:p>
    <w:p w14:paraId="10B7F0E1" w14:textId="4D74778F" w:rsidR="002F7285" w:rsidRDefault="002F7285" w:rsidP="002F7285">
      <w:r>
        <w:t>NR supports fairly flexible HARQ operation. In both DCI Format 1-0 and DCI</w:t>
      </w:r>
      <w:r w:rsidR="00AD5768">
        <w:t xml:space="preserve"> </w:t>
      </w:r>
      <w:r>
        <w:t>Format 1-1 there is a 3</w:t>
      </w:r>
      <w:r w:rsidR="00393913">
        <w:t>-</w:t>
      </w:r>
      <w:r>
        <w:t>bit HARQ ACK delay field</w:t>
      </w:r>
      <w:r w:rsidR="009946AF">
        <w:t xml:space="preserve"> (</w:t>
      </w:r>
      <w:r w:rsidR="009946AF">
        <w:rPr>
          <w:rFonts w:hint="eastAsia"/>
          <w:lang w:eastAsia="zh-CN"/>
        </w:rPr>
        <w:t>PDSCH-to-HARQ_feedback timing indicator</w:t>
      </w:r>
      <w:r w:rsidR="009946AF">
        <w:rPr>
          <w:lang w:eastAsia="zh-CN"/>
        </w:rPr>
        <w:t>)</w:t>
      </w:r>
      <w:r>
        <w:t xml:space="preserve"> that can be used to control the location of the ACK. In DCI Format 1-1 the delay values come from a higher layer configured set while for DCI Format 1-0 the delay </w:t>
      </w:r>
      <w:r w:rsidR="00AD5768">
        <w:t>is</w:t>
      </w:r>
      <w:r>
        <w:t xml:space="preserve"> from the set {1,</w:t>
      </w:r>
      <w:r w:rsidR="00C51159">
        <w:t xml:space="preserve"> </w:t>
      </w:r>
      <w:r>
        <w:t>2</w:t>
      </w:r>
      <w:r w:rsidR="00C51159">
        <w:t xml:space="preserve">, </w:t>
      </w:r>
      <w:r>
        <w:t>..</w:t>
      </w:r>
      <w:r w:rsidR="00C51159">
        <w:t xml:space="preserve">, </w:t>
      </w:r>
      <w:r>
        <w:t>8}.</w:t>
      </w:r>
    </w:p>
    <w:p w14:paraId="1C7DC39B" w14:textId="2DB07D27" w:rsidR="008C50B2" w:rsidRDefault="002F7285" w:rsidP="002F7285">
      <w:r>
        <w:t xml:space="preserve">NR supports two modes for determining the ACK codebook size – </w:t>
      </w:r>
      <w:r w:rsidR="00236518">
        <w:t xml:space="preserve">semi-static </w:t>
      </w:r>
      <w:r>
        <w:t xml:space="preserve">mode and dynamic mode. </w:t>
      </w:r>
    </w:p>
    <w:p w14:paraId="588FB398" w14:textId="441CE573" w:rsidR="008C50B2" w:rsidRDefault="002F7285" w:rsidP="008C50B2">
      <w:pPr>
        <w:pStyle w:val="ListParagraph"/>
        <w:numPr>
          <w:ilvl w:val="0"/>
          <w:numId w:val="37"/>
        </w:numPr>
      </w:pPr>
      <w:r>
        <w:t xml:space="preserve">In </w:t>
      </w:r>
      <w:r w:rsidR="00236518">
        <w:t xml:space="preserve">semi-static </w:t>
      </w:r>
      <w:r>
        <w:t xml:space="preserve">mode the ACK codebook size is determined based on the maximum number of TBs across cells and </w:t>
      </w:r>
      <w:r w:rsidR="00C51159">
        <w:t xml:space="preserve">PDCCH monitoring occasions in </w:t>
      </w:r>
      <w:r>
        <w:t>time that can be configured to have ACK on the same slot.</w:t>
      </w:r>
      <w:r w:rsidR="008C50B2">
        <w:t xml:space="preserve"> This mode is more robust to missed and false DCI detections tha</w:t>
      </w:r>
      <w:r w:rsidR="00AD5768">
        <w:t>n</w:t>
      </w:r>
      <w:r w:rsidR="008C50B2">
        <w:t xml:space="preserve"> dynamic mode but comes at the expense of more </w:t>
      </w:r>
      <w:r w:rsidR="00C51159">
        <w:t xml:space="preserve">bits for ACK </w:t>
      </w:r>
      <w:r w:rsidR="008C50B2">
        <w:t>feedback</w:t>
      </w:r>
      <w:r w:rsidR="00C51159">
        <w:t>.</w:t>
      </w:r>
    </w:p>
    <w:p w14:paraId="0E2991D1" w14:textId="38E1A8FE" w:rsidR="008C50B2" w:rsidRDefault="008C50B2" w:rsidP="008C50B2">
      <w:pPr>
        <w:pStyle w:val="ListParagraph"/>
        <w:numPr>
          <w:ilvl w:val="0"/>
          <w:numId w:val="37"/>
        </w:numPr>
      </w:pPr>
      <w:r>
        <w:t xml:space="preserve">In dynamic mode the ACK codebook size is determined based on the number of </w:t>
      </w:r>
      <w:r w:rsidR="00C51159">
        <w:t xml:space="preserve">actually received </w:t>
      </w:r>
      <w:r>
        <w:t xml:space="preserve">DCIs pointing to the same ACK slot. To make this robust to missed and false DCI detections, a counter DAI and total DAI field </w:t>
      </w:r>
      <w:r w:rsidR="00AD5768">
        <w:t>is</w:t>
      </w:r>
      <w:r>
        <w:t xml:space="preserve"> introduced in the DCI</w:t>
      </w:r>
      <w:r w:rsidR="00C51159">
        <w:t>.</w:t>
      </w:r>
    </w:p>
    <w:p w14:paraId="3DF13981" w14:textId="4DB14851" w:rsidR="00433158" w:rsidRDefault="00887509" w:rsidP="008C50B2">
      <w:r>
        <w:t>These modes enable adapting the HARQ ACK feedback to dynamic frame structures.</w:t>
      </w:r>
      <w:r w:rsidR="00433158">
        <w:t xml:space="preserve"> The fast HARQ-ACK feedback helps control the number of HARQ processes that are needed</w:t>
      </w:r>
      <w:r w:rsidR="00EF6CFA">
        <w:t xml:space="preserve"> and </w:t>
      </w:r>
      <w:r w:rsidR="00393913">
        <w:t xml:space="preserve">to </w:t>
      </w:r>
      <w:r w:rsidR="00EF6CFA">
        <w:t>adapt to changing interference conditions</w:t>
      </w:r>
      <w:r w:rsidR="00433158">
        <w:t xml:space="preserve">. Additionally, depending on the time between the DL and UL switches, the feedback and following DL transmissions may not need any LBT gaps. </w:t>
      </w:r>
      <w:r w:rsidR="00EF6CFA">
        <w:t xml:space="preserve">Similar considerations apply for UL HARQ operation. Allowing grants between UL slots in TxOP provides gNB more scheduling flexibility such as for adapting the rate to changing interference conditions. </w:t>
      </w:r>
      <w:r w:rsidR="00433158">
        <w:t>We hence propose that the NR based HARQ-ACK procedures and timelines also be supported for NR-U.</w:t>
      </w:r>
    </w:p>
    <w:p w14:paraId="55554CB0" w14:textId="77FC4C67" w:rsidR="00A86414" w:rsidRDefault="00433158" w:rsidP="00A86414">
      <w:pPr>
        <w:rPr>
          <w:b/>
        </w:rPr>
      </w:pPr>
      <w:bookmarkStart w:id="11" w:name="p6"/>
      <w:r w:rsidRPr="00A86414">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9F189E">
        <w:rPr>
          <w:b/>
          <w:noProof/>
          <w:u w:val="single"/>
        </w:rPr>
        <w:t>6</w:t>
      </w:r>
      <w:r w:rsidR="002614F6">
        <w:rPr>
          <w:b/>
          <w:u w:val="single"/>
        </w:rPr>
        <w:fldChar w:fldCharType="end"/>
      </w:r>
      <w:r w:rsidRPr="00A86414">
        <w:rPr>
          <w:b/>
          <w:u w:val="single"/>
        </w:rPr>
        <w:t>:</w:t>
      </w:r>
      <w:r w:rsidRPr="00A86414">
        <w:rPr>
          <w:b/>
        </w:rPr>
        <w:t xml:space="preserve"> </w:t>
      </w:r>
      <w:r w:rsidR="00A86414" w:rsidRPr="00A86414">
        <w:rPr>
          <w:b/>
        </w:rPr>
        <w:t xml:space="preserve">Switches between DL and UL </w:t>
      </w:r>
      <w:r w:rsidR="00A86414">
        <w:rPr>
          <w:b/>
        </w:rPr>
        <w:t xml:space="preserve">for exchange of control information during data transmission </w:t>
      </w:r>
      <w:r w:rsidR="00A86414" w:rsidRPr="00A86414">
        <w:rPr>
          <w:b/>
        </w:rPr>
        <w:t>should be supported</w:t>
      </w:r>
      <w:r w:rsidR="00A86414">
        <w:rPr>
          <w:b/>
        </w:rPr>
        <w:t>. The switching should</w:t>
      </w:r>
      <w:r w:rsidR="00A86414" w:rsidRPr="00A86414">
        <w:rPr>
          <w:b/>
        </w:rPr>
        <w:t xml:space="preserve"> </w:t>
      </w:r>
      <w:r w:rsidR="00A86414">
        <w:rPr>
          <w:b/>
        </w:rPr>
        <w:t xml:space="preserve">not </w:t>
      </w:r>
      <w:r w:rsidR="00A86414" w:rsidRPr="00A86414">
        <w:rPr>
          <w:b/>
        </w:rPr>
        <w:t>requir</w:t>
      </w:r>
      <w:r w:rsidR="00A86414">
        <w:rPr>
          <w:b/>
        </w:rPr>
        <w:t>e</w:t>
      </w:r>
      <w:r w:rsidR="00A86414" w:rsidRPr="00A86414">
        <w:rPr>
          <w:b/>
        </w:rPr>
        <w:t xml:space="preserve"> any LBT when the gap is within the regulatory requirements</w:t>
      </w:r>
      <w:r w:rsidR="00A86414">
        <w:rPr>
          <w:b/>
        </w:rPr>
        <w:t>. This includes</w:t>
      </w:r>
    </w:p>
    <w:p w14:paraId="0C1B4DDC" w14:textId="237CA685" w:rsidR="00A86414" w:rsidRDefault="00A86414" w:rsidP="00A86414">
      <w:pPr>
        <w:pStyle w:val="ListParagraph"/>
        <w:numPr>
          <w:ilvl w:val="0"/>
          <w:numId w:val="45"/>
        </w:numPr>
        <w:rPr>
          <w:b/>
        </w:rPr>
      </w:pPr>
      <w:r>
        <w:rPr>
          <w:b/>
        </w:rPr>
        <w:t xml:space="preserve">UCI </w:t>
      </w:r>
      <w:r w:rsidR="00331945">
        <w:rPr>
          <w:b/>
        </w:rPr>
        <w:t>transmission</w:t>
      </w:r>
      <w:r>
        <w:rPr>
          <w:b/>
        </w:rPr>
        <w:t xml:space="preserve"> such as for </w:t>
      </w:r>
      <w:r w:rsidRPr="00A86414">
        <w:rPr>
          <w:b/>
        </w:rPr>
        <w:t>HARQ ACK between DL slots</w:t>
      </w:r>
      <w:r>
        <w:rPr>
          <w:b/>
        </w:rPr>
        <w:t xml:space="preserve"> carrying PDCCH/PDSCH</w:t>
      </w:r>
    </w:p>
    <w:p w14:paraId="0929D57A" w14:textId="01DB9D8F" w:rsidR="00A86414" w:rsidRPr="00A86414" w:rsidRDefault="00A86414" w:rsidP="00151FA6">
      <w:pPr>
        <w:pStyle w:val="ListParagraph"/>
        <w:numPr>
          <w:ilvl w:val="0"/>
          <w:numId w:val="45"/>
        </w:numPr>
        <w:spacing w:after="0"/>
        <w:rPr>
          <w:b/>
        </w:rPr>
      </w:pPr>
      <w:r>
        <w:rPr>
          <w:b/>
        </w:rPr>
        <w:t>DCI transmission such as for UL grants between UL slots carrying PUCCH/PUSCH</w:t>
      </w:r>
    </w:p>
    <w:bookmarkEnd w:id="11"/>
    <w:p w14:paraId="08FAC827" w14:textId="331B31B2" w:rsidR="004179F4" w:rsidRDefault="008C50B2" w:rsidP="00957EBC">
      <w:r>
        <w:t>In both the</w:t>
      </w:r>
      <w:r w:rsidR="00D67913">
        <w:t xml:space="preserve"> semi</w:t>
      </w:r>
      <w:r w:rsidR="00957EBC">
        <w:t>-</w:t>
      </w:r>
      <w:r w:rsidR="00D67913">
        <w:t xml:space="preserve">static and dynamic ACK feedback </w:t>
      </w:r>
      <w:r w:rsidR="00ED530D">
        <w:t>modes</w:t>
      </w:r>
      <w:r>
        <w:t xml:space="preserve">, the ACKs that are included in a PUCCH/PUSCH are determined based on the configured delay. Hence the ACK </w:t>
      </w:r>
      <w:r w:rsidR="007424DA">
        <w:t xml:space="preserve">for any particular HARQ process </w:t>
      </w:r>
      <w:r>
        <w:t xml:space="preserve">has only one opportunity of being sent. </w:t>
      </w:r>
      <w:r w:rsidR="00ED530D">
        <w:t xml:space="preserve">Having a single opportunity for ACK feedback may result in not transmitting ACK in many cases due to LBT failures. </w:t>
      </w:r>
      <w:r w:rsidR="00CF64AC">
        <w:t xml:space="preserve">For example, in </w:t>
      </w:r>
      <w:r w:rsidR="00CF64AC">
        <w:fldChar w:fldCharType="begin"/>
      </w:r>
      <w:r w:rsidR="00CF64AC">
        <w:instrText xml:space="preserve"> REF _Ref513497040 \h </w:instrText>
      </w:r>
      <w:r w:rsidR="00957EBC">
        <w:instrText xml:space="preserve"> \* MERGEFORMAT </w:instrText>
      </w:r>
      <w:r w:rsidR="00CF64AC">
        <w:fldChar w:fldCharType="separate"/>
      </w:r>
      <w:r w:rsidR="009F189E">
        <w:t>Figure 4</w:t>
      </w:r>
      <w:r w:rsidR="00CF64AC">
        <w:fldChar w:fldCharType="end"/>
      </w:r>
      <w:r w:rsidR="00CF64AC">
        <w:t xml:space="preserve">, if the LBT fails in the first LBT gap, the HARQ ACK feedback for the first two HARQ processes are never sent. </w:t>
      </w:r>
      <w:r w:rsidR="00C51159">
        <w:t>To make the system more robust</w:t>
      </w:r>
      <w:r w:rsidR="00CF64AC">
        <w:t xml:space="preserve"> to LBT related failures</w:t>
      </w:r>
      <w:r w:rsidR="00C51159">
        <w:t>, i</w:t>
      </w:r>
      <w:r w:rsidR="00ED530D">
        <w:t xml:space="preserve">t is desirable to have multiple opportunities to send the HARQ ACK feedback. </w:t>
      </w:r>
    </w:p>
    <w:p w14:paraId="2EAC5666" w14:textId="45BF8911" w:rsidR="00CF64AC" w:rsidRDefault="00862899" w:rsidP="00CF64AC">
      <w:pPr>
        <w:keepNext/>
        <w:jc w:val="center"/>
      </w:pPr>
      <w:r>
        <w:object w:dxaOrig="11058" w:dyaOrig="3805" w14:anchorId="7222143A">
          <v:shape id="_x0000_i1028" type="#_x0000_t75" style="width:289.5pt;height:99.5pt" o:ole="">
            <v:imagedata r:id="rId18" o:title=""/>
          </v:shape>
          <o:OLEObject Type="Embed" ProgID="Visio.Drawing.11" ShapeID="_x0000_i1028" DrawAspect="Content" ObjectID="_1595425642" r:id="rId19"/>
        </w:object>
      </w:r>
    </w:p>
    <w:p w14:paraId="0E3AC68C" w14:textId="7C0AA29E" w:rsidR="00143B49" w:rsidRDefault="00CF64AC" w:rsidP="00CF64AC">
      <w:pPr>
        <w:pStyle w:val="Caption"/>
        <w:jc w:val="center"/>
      </w:pPr>
      <w:bookmarkStart w:id="12" w:name="_Ref513497040"/>
      <w:r>
        <w:t xml:space="preserve">Figure </w:t>
      </w:r>
      <w:r>
        <w:fldChar w:fldCharType="begin"/>
      </w:r>
      <w:r>
        <w:instrText xml:space="preserve"> SEQ Figure \* ARABIC </w:instrText>
      </w:r>
      <w:r>
        <w:fldChar w:fldCharType="separate"/>
      </w:r>
      <w:r w:rsidR="009F189E">
        <w:rPr>
          <w:noProof/>
        </w:rPr>
        <w:t>4</w:t>
      </w:r>
      <w:r>
        <w:fldChar w:fldCharType="end"/>
      </w:r>
      <w:bookmarkEnd w:id="12"/>
      <w:r>
        <w:t>: HARQ ACK Timeline options leveraging the PDSCH to ACK delay field</w:t>
      </w:r>
    </w:p>
    <w:p w14:paraId="42E5B251" w14:textId="77777777" w:rsidR="00672324" w:rsidRDefault="00672324" w:rsidP="00672324">
      <w:pPr>
        <w:spacing w:after="0"/>
        <w:jc w:val="left"/>
      </w:pPr>
      <w:r>
        <w:t xml:space="preserve">In RAN1#93, it was agreed that </w:t>
      </w:r>
    </w:p>
    <w:p w14:paraId="100E9DCD" w14:textId="77777777" w:rsidR="00672324" w:rsidRPr="00C032F8" w:rsidRDefault="00672324" w:rsidP="00957EBC">
      <w:pPr>
        <w:pStyle w:val="ListParagraph"/>
        <w:numPr>
          <w:ilvl w:val="0"/>
          <w:numId w:val="47"/>
        </w:numPr>
        <w:spacing w:after="0" w:line="240" w:lineRule="auto"/>
        <w:contextualSpacing w:val="0"/>
      </w:pPr>
      <w:r w:rsidRPr="00C032F8">
        <w:t>NR-U uses NR HARQ feedback mechanisms as baseline, and enhancements can be identified</w:t>
      </w:r>
    </w:p>
    <w:p w14:paraId="1BC88D27" w14:textId="77777777" w:rsidR="00672324" w:rsidRPr="00D80EDE" w:rsidRDefault="00672324" w:rsidP="00957EBC">
      <w:pPr>
        <w:pStyle w:val="ListParagraph"/>
        <w:numPr>
          <w:ilvl w:val="0"/>
          <w:numId w:val="47"/>
        </w:numPr>
        <w:spacing w:after="0" w:line="240" w:lineRule="auto"/>
        <w:contextualSpacing w:val="0"/>
      </w:pPr>
      <w:r w:rsidRPr="00D80EDE">
        <w:t>Techniques to handle reduced HARQ A/N transmission opportunities for a given HARQ process due to LBT failure are identified as beneficial</w:t>
      </w:r>
    </w:p>
    <w:p w14:paraId="77DBE1AD" w14:textId="77777777" w:rsidR="00672324" w:rsidRPr="00D80EDE" w:rsidRDefault="00672324" w:rsidP="00957EBC">
      <w:pPr>
        <w:pStyle w:val="ListParagraph"/>
        <w:numPr>
          <w:ilvl w:val="1"/>
          <w:numId w:val="47"/>
        </w:numPr>
        <w:spacing w:after="0" w:line="240" w:lineRule="auto"/>
        <w:contextualSpacing w:val="0"/>
      </w:pPr>
      <w:r w:rsidRPr="00D80EDE">
        <w:t>Potential techniques include mechanisms to provide multiple and/or supplemental time and/or frequency domain transmission opportunities</w:t>
      </w:r>
    </w:p>
    <w:p w14:paraId="496D9D80" w14:textId="77777777" w:rsidR="00672324" w:rsidRPr="00C032F8" w:rsidRDefault="00672324" w:rsidP="00957EBC">
      <w:pPr>
        <w:pStyle w:val="ListParagraph"/>
        <w:numPr>
          <w:ilvl w:val="0"/>
          <w:numId w:val="47"/>
        </w:numPr>
        <w:spacing w:after="0" w:line="240" w:lineRule="auto"/>
        <w:contextualSpacing w:val="0"/>
      </w:pPr>
      <w:r w:rsidRPr="00C032F8">
        <w:t>When UL HARQ feedback is transmitted on unlicensed band, NR-U considers mechanisms to support flexible triggering and multiplexing of HARQ feedback for one or more DL HARQ processes</w:t>
      </w:r>
    </w:p>
    <w:p w14:paraId="6D1CD154" w14:textId="5EE1D79D" w:rsidR="00672324" w:rsidRPr="00D80EDE" w:rsidRDefault="00672324" w:rsidP="00957EBC">
      <w:r>
        <w:lastRenderedPageBreak/>
        <w:t>In line with these agreements we propose specific mechanisms to provide multiple Tx opportunities for HARQ ACK</w:t>
      </w:r>
      <w:r w:rsidR="00957EBC">
        <w:t xml:space="preserve"> feedback</w:t>
      </w:r>
      <w:r>
        <w:t xml:space="preserve"> as well as for flexible</w:t>
      </w:r>
      <w:r w:rsidRPr="00672324">
        <w:t xml:space="preserve"> </w:t>
      </w:r>
      <w:r w:rsidRPr="00C032F8">
        <w:t xml:space="preserve">triggering and multiplexing of HARQ </w:t>
      </w:r>
      <w:r w:rsidR="00957EBC">
        <w:t xml:space="preserve">ACK </w:t>
      </w:r>
      <w:r w:rsidRPr="00C032F8">
        <w:t>feedback</w:t>
      </w:r>
      <w:r>
        <w:t xml:space="preserve"> for multiple DL HARQ processes. The first is group HARQ-ACK feedback and the second uses a configurable window size specified in the DCI. Details of these</w:t>
      </w:r>
      <w:r w:rsidR="00FB46FC">
        <w:t xml:space="preserve"> mechanisms</w:t>
      </w:r>
      <w:r>
        <w:t xml:space="preserve"> are </w:t>
      </w:r>
      <w:r w:rsidR="00FB46FC">
        <w:t>described</w:t>
      </w:r>
      <w:r>
        <w:t xml:space="preserve"> </w:t>
      </w:r>
      <w:r w:rsidR="00957EBC">
        <w:t xml:space="preserve">in the subsections </w:t>
      </w:r>
      <w:r>
        <w:t>below.</w:t>
      </w:r>
    </w:p>
    <w:p w14:paraId="2DAF8DF5" w14:textId="216BCEB2" w:rsidR="00672324" w:rsidRDefault="00672324" w:rsidP="00ED530D">
      <w:pPr>
        <w:pStyle w:val="Heading2"/>
      </w:pPr>
      <w:r>
        <w:t>Group HARQ ACK feedback</w:t>
      </w:r>
    </w:p>
    <w:p w14:paraId="021B1A8C" w14:textId="05EA8524" w:rsidR="004179F4" w:rsidRDefault="00ED530D" w:rsidP="00ED530D">
      <w:r>
        <w:t xml:space="preserve">In NR-U operation, in some cases, the </w:t>
      </w:r>
      <w:r w:rsidR="003643DC">
        <w:t>gNB needs to create LBT gaps for</w:t>
      </w:r>
      <w:r>
        <w:t xml:space="preserve"> switches from DL to UL</w:t>
      </w:r>
      <w:r w:rsidR="003643DC">
        <w:t xml:space="preserve"> which increase overhead and results in potential loss of access to the medium. To avoid these issues gNB may choose a frame structure that has just one switch from DL to UL. LTE eLAA adopted such a design</w:t>
      </w:r>
      <w:r>
        <w:t xml:space="preserve"> for example</w:t>
      </w:r>
      <w:r w:rsidR="003643DC">
        <w:t>.</w:t>
      </w:r>
      <w:r>
        <w:t xml:space="preserve"> In this case we may want a larger set of delay values that are supported. </w:t>
      </w:r>
      <w:r w:rsidR="00C51159">
        <w:t>For example</w:t>
      </w:r>
      <w:r w:rsidR="004179F4">
        <w:t>,</w:t>
      </w:r>
      <w:r w:rsidR="00C51159">
        <w:t xml:space="preserve"> DCI Format 1-0 currently supports only delay of 1 to 8 which</w:t>
      </w:r>
      <w:r w:rsidR="004179F4">
        <w:t xml:space="preserve"> means that with a SCS of 60KHz, the maximum contiguous DL portion can be at most of the order of 2ms (8 * 0.25ms). </w:t>
      </w:r>
      <w:r w:rsidR="00957EBC">
        <w:t>This however doesn’t meet the objective of providing multiple opportunities to transmit the ACK.</w:t>
      </w:r>
    </w:p>
    <w:p w14:paraId="050FF0C7" w14:textId="0EAA545C" w:rsidR="0010024E" w:rsidRDefault="004179F4" w:rsidP="00ED530D">
      <w:r>
        <w:t xml:space="preserve">An alternate way to solve this problem is to not include an explicit ACK delay field in the DCI. Instead have an ACK trigger that causes the UE to transmit the HARQ-ACK bits for all </w:t>
      </w:r>
      <w:r w:rsidR="00D62422">
        <w:t xml:space="preserve">configured </w:t>
      </w:r>
      <w:r>
        <w:t>HARQ processes</w:t>
      </w:r>
      <w:r w:rsidR="00F22A7A">
        <w:t>, i</w:t>
      </w:r>
      <w:r w:rsidR="0040146F">
        <w:t>.</w:t>
      </w:r>
      <w:r w:rsidR="00F22A7A">
        <w:t>e.</w:t>
      </w:r>
      <w:r w:rsidR="00957EBC">
        <w:t xml:space="preserve">, </w:t>
      </w:r>
      <w:r w:rsidR="00F22A7A">
        <w:t>have a group HARQ-ACK feedback</w:t>
      </w:r>
      <w:r>
        <w:t>.</w:t>
      </w:r>
      <w:r w:rsidR="00CF64AC">
        <w:t xml:space="preserve"> This is shown in </w:t>
      </w:r>
      <w:r w:rsidR="00CF64AC">
        <w:fldChar w:fldCharType="begin"/>
      </w:r>
      <w:r w:rsidR="00CF64AC">
        <w:instrText xml:space="preserve"> REF _Ref513497345 \h </w:instrText>
      </w:r>
      <w:r w:rsidR="00CF64AC">
        <w:fldChar w:fldCharType="separate"/>
      </w:r>
      <w:r w:rsidR="009F189E">
        <w:t xml:space="preserve">Figure </w:t>
      </w:r>
      <w:r w:rsidR="009F189E">
        <w:rPr>
          <w:noProof/>
        </w:rPr>
        <w:t>5</w:t>
      </w:r>
      <w:r w:rsidR="00CF64AC">
        <w:fldChar w:fldCharType="end"/>
      </w:r>
      <w:r w:rsidR="00CF64AC">
        <w:t>.</w:t>
      </w:r>
      <w:r>
        <w:t xml:space="preserve"> </w:t>
      </w:r>
    </w:p>
    <w:p w14:paraId="5FB1E5D2" w14:textId="1B87BEAC" w:rsidR="00CF64AC" w:rsidRDefault="00862899" w:rsidP="00CF64AC">
      <w:pPr>
        <w:keepNext/>
        <w:jc w:val="center"/>
      </w:pPr>
      <w:r>
        <w:object w:dxaOrig="10888" w:dyaOrig="3366" w14:anchorId="182FD571">
          <v:shape id="_x0000_i1029" type="#_x0000_t75" style="width:288.5pt;height:89.5pt" o:ole="">
            <v:imagedata r:id="rId20" o:title=""/>
          </v:shape>
          <o:OLEObject Type="Embed" ProgID="Visio.Drawing.11" ShapeID="_x0000_i1029" DrawAspect="Content" ObjectID="_1595425643" r:id="rId21"/>
        </w:object>
      </w:r>
    </w:p>
    <w:p w14:paraId="3B4656AE" w14:textId="65E54397" w:rsidR="0010024E" w:rsidRDefault="00CF64AC" w:rsidP="00CF64AC">
      <w:pPr>
        <w:pStyle w:val="Caption"/>
        <w:jc w:val="center"/>
      </w:pPr>
      <w:bookmarkStart w:id="13" w:name="_Ref513497345"/>
      <w:r>
        <w:t xml:space="preserve">Figure </w:t>
      </w:r>
      <w:r>
        <w:fldChar w:fldCharType="begin"/>
      </w:r>
      <w:r>
        <w:instrText xml:space="preserve"> SEQ Figure \* ARABIC </w:instrText>
      </w:r>
      <w:r>
        <w:fldChar w:fldCharType="separate"/>
      </w:r>
      <w:r w:rsidR="009F189E">
        <w:rPr>
          <w:noProof/>
        </w:rPr>
        <w:t>5</w:t>
      </w:r>
      <w:r>
        <w:fldChar w:fldCharType="end"/>
      </w:r>
      <w:bookmarkEnd w:id="13"/>
      <w:r>
        <w:t xml:space="preserve">: HARQ ACK Timeline with </w:t>
      </w:r>
      <w:r w:rsidR="00F22A7A">
        <w:t>group HARQ-ACK feedback</w:t>
      </w:r>
    </w:p>
    <w:p w14:paraId="5DDD023A" w14:textId="4BFB4FAD" w:rsidR="00CF64AC" w:rsidRDefault="00CF64AC" w:rsidP="008C50B2">
      <w:r>
        <w:t xml:space="preserve">It is desirable to support both kind of solutions in NR – one that leverages the NR PDSCH to HARQ ACK delay field as well as one that uses the one-shot </w:t>
      </w:r>
      <w:r w:rsidR="00F22A7A">
        <w:t xml:space="preserve">group </w:t>
      </w:r>
      <w:r>
        <w:t>HARQ ACK feedback. Hence</w:t>
      </w:r>
      <w:r w:rsidR="00236518">
        <w:t>,</w:t>
      </w:r>
      <w:r>
        <w:t xml:space="preserve"> we have the following proposals</w:t>
      </w:r>
      <w:r w:rsidR="00236518">
        <w:t>:</w:t>
      </w:r>
    </w:p>
    <w:p w14:paraId="38D5E0BD" w14:textId="0BC994A5" w:rsidR="009946AF" w:rsidRDefault="007424DA" w:rsidP="00151FA6">
      <w:pPr>
        <w:spacing w:after="0"/>
        <w:rPr>
          <w:b/>
        </w:rPr>
      </w:pPr>
      <w:bookmarkStart w:id="14" w:name="p7"/>
      <w:r w:rsidRPr="003C413D">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9F189E">
        <w:rPr>
          <w:b/>
          <w:noProof/>
          <w:u w:val="single"/>
        </w:rPr>
        <w:t>7</w:t>
      </w:r>
      <w:r w:rsidR="002614F6">
        <w:rPr>
          <w:b/>
          <w:u w:val="single"/>
        </w:rPr>
        <w:fldChar w:fldCharType="end"/>
      </w:r>
      <w:r w:rsidRPr="003C413D">
        <w:rPr>
          <w:b/>
          <w:u w:val="single"/>
        </w:rPr>
        <w:t>:</w:t>
      </w:r>
      <w:r w:rsidRPr="003C413D">
        <w:rPr>
          <w:b/>
        </w:rPr>
        <w:t xml:space="preserve"> </w:t>
      </w:r>
      <w:r w:rsidR="006E7667">
        <w:rPr>
          <w:b/>
        </w:rPr>
        <w:t>Support configurable</w:t>
      </w:r>
      <w:r w:rsidRPr="003C413D">
        <w:rPr>
          <w:b/>
        </w:rPr>
        <w:t xml:space="preserve"> </w:t>
      </w:r>
      <w:r w:rsidR="009946AF">
        <w:rPr>
          <w:b/>
        </w:rPr>
        <w:t xml:space="preserve">bitwidth for </w:t>
      </w:r>
      <w:r w:rsidR="009946AF" w:rsidRPr="009946AF">
        <w:rPr>
          <w:rFonts w:hint="eastAsia"/>
          <w:b/>
          <w:i/>
          <w:lang w:eastAsia="zh-CN"/>
        </w:rPr>
        <w:t>PDSCH-to-HARQ_feedback timing indicator</w:t>
      </w:r>
      <w:r w:rsidR="009946AF" w:rsidRPr="009946AF">
        <w:rPr>
          <w:b/>
          <w:i/>
        </w:rPr>
        <w:t xml:space="preserve"> </w:t>
      </w:r>
      <w:r w:rsidR="006E7667">
        <w:rPr>
          <w:b/>
        </w:rPr>
        <w:t xml:space="preserve">from 0 to N bits </w:t>
      </w:r>
    </w:p>
    <w:p w14:paraId="0D8788A9" w14:textId="64E7BB7D" w:rsidR="009946AF" w:rsidRDefault="006E7667" w:rsidP="00151FA6">
      <w:pPr>
        <w:pStyle w:val="ListParagraph"/>
        <w:numPr>
          <w:ilvl w:val="0"/>
          <w:numId w:val="46"/>
        </w:numPr>
        <w:spacing w:after="0"/>
        <w:rPr>
          <w:b/>
        </w:rPr>
      </w:pPr>
      <w:r w:rsidRPr="009946AF">
        <w:rPr>
          <w:b/>
        </w:rPr>
        <w:t xml:space="preserve">0 bit to handle triggered group HARQ ACK feedback </w:t>
      </w:r>
    </w:p>
    <w:p w14:paraId="3524C069" w14:textId="29108D8B" w:rsidR="007424DA" w:rsidRPr="009946AF" w:rsidRDefault="006E7667" w:rsidP="00151FA6">
      <w:pPr>
        <w:pStyle w:val="ListParagraph"/>
        <w:numPr>
          <w:ilvl w:val="0"/>
          <w:numId w:val="46"/>
        </w:numPr>
        <w:spacing w:after="0"/>
        <w:rPr>
          <w:b/>
        </w:rPr>
      </w:pPr>
      <w:r w:rsidRPr="009946AF">
        <w:rPr>
          <w:b/>
        </w:rPr>
        <w:t xml:space="preserve">N&gt;3 bits to support </w:t>
      </w:r>
      <w:r w:rsidR="00F31E1D" w:rsidRPr="009946AF">
        <w:rPr>
          <w:b/>
        </w:rPr>
        <w:t>more flexible feedback timing</w:t>
      </w:r>
    </w:p>
    <w:p w14:paraId="4E464BFD" w14:textId="039DDC5E" w:rsidR="004179F4" w:rsidRDefault="003C413D" w:rsidP="00151FA6">
      <w:pPr>
        <w:spacing w:after="0"/>
        <w:rPr>
          <w:b/>
        </w:rPr>
      </w:pPr>
      <w:bookmarkStart w:id="15" w:name="p8"/>
      <w:bookmarkEnd w:id="14"/>
      <w:r w:rsidRPr="003C413D">
        <w:rPr>
          <w:b/>
          <w:u w:val="single"/>
        </w:rPr>
        <w:t>Propo</w:t>
      </w:r>
      <w:r w:rsidR="004179F4" w:rsidRPr="003C413D">
        <w:rPr>
          <w:b/>
          <w:u w:val="single"/>
        </w:rPr>
        <w:t xml:space="preserve">sal </w:t>
      </w:r>
      <w:r w:rsidR="002614F6">
        <w:rPr>
          <w:b/>
          <w:u w:val="single"/>
        </w:rPr>
        <w:fldChar w:fldCharType="begin"/>
      </w:r>
      <w:r w:rsidR="002614F6">
        <w:rPr>
          <w:b/>
          <w:u w:val="single"/>
        </w:rPr>
        <w:instrText xml:space="preserve"> seq prop </w:instrText>
      </w:r>
      <w:r w:rsidR="002614F6">
        <w:rPr>
          <w:b/>
          <w:u w:val="single"/>
        </w:rPr>
        <w:fldChar w:fldCharType="separate"/>
      </w:r>
      <w:r w:rsidR="009F189E">
        <w:rPr>
          <w:b/>
          <w:noProof/>
          <w:u w:val="single"/>
        </w:rPr>
        <w:t>8</w:t>
      </w:r>
      <w:r w:rsidR="002614F6">
        <w:rPr>
          <w:b/>
          <w:u w:val="single"/>
        </w:rPr>
        <w:fldChar w:fldCharType="end"/>
      </w:r>
      <w:r w:rsidR="004179F4" w:rsidRPr="003C413D">
        <w:rPr>
          <w:b/>
          <w:u w:val="single"/>
        </w:rPr>
        <w:t>:</w:t>
      </w:r>
      <w:r w:rsidR="004179F4" w:rsidRPr="003C413D">
        <w:rPr>
          <w:b/>
        </w:rPr>
        <w:t xml:space="preserve"> Introduce </w:t>
      </w:r>
      <w:r w:rsidR="00672324">
        <w:rPr>
          <w:b/>
        </w:rPr>
        <w:t xml:space="preserve">the following </w:t>
      </w:r>
      <w:r w:rsidR="004179F4" w:rsidRPr="003C413D">
        <w:rPr>
          <w:b/>
        </w:rPr>
        <w:t xml:space="preserve">mechanisms </w:t>
      </w:r>
      <w:r w:rsidR="00F31E1D">
        <w:rPr>
          <w:b/>
        </w:rPr>
        <w:t xml:space="preserve">to trigger </w:t>
      </w:r>
      <w:r w:rsidR="009946AF">
        <w:rPr>
          <w:b/>
        </w:rPr>
        <w:t>group</w:t>
      </w:r>
      <w:r w:rsidR="009946AF" w:rsidRPr="003C413D">
        <w:rPr>
          <w:b/>
        </w:rPr>
        <w:t xml:space="preserve"> HARQ ACK </w:t>
      </w:r>
      <w:r w:rsidR="009946AF">
        <w:rPr>
          <w:b/>
        </w:rPr>
        <w:t>feedback</w:t>
      </w:r>
      <w:r w:rsidR="0000511B">
        <w:rPr>
          <w:b/>
        </w:rPr>
        <w:t xml:space="preserve"> for all configured HARQ processes</w:t>
      </w:r>
    </w:p>
    <w:p w14:paraId="2D46AC07" w14:textId="32978A87" w:rsidR="00672324" w:rsidRDefault="00672324" w:rsidP="00151FA6">
      <w:pPr>
        <w:pStyle w:val="ListParagraph"/>
        <w:numPr>
          <w:ilvl w:val="0"/>
          <w:numId w:val="48"/>
        </w:numPr>
        <w:spacing w:after="0"/>
        <w:rPr>
          <w:b/>
        </w:rPr>
      </w:pPr>
      <w:r>
        <w:rPr>
          <w:b/>
        </w:rPr>
        <w:t>A trigger included in the DL PDSCH grant</w:t>
      </w:r>
    </w:p>
    <w:p w14:paraId="7AAA2B0A" w14:textId="50797E72" w:rsidR="00161561" w:rsidRDefault="00161561" w:rsidP="00151FA6">
      <w:pPr>
        <w:pStyle w:val="ListParagraph"/>
        <w:numPr>
          <w:ilvl w:val="0"/>
          <w:numId w:val="48"/>
        </w:numPr>
        <w:spacing w:after="0"/>
        <w:rPr>
          <w:b/>
        </w:rPr>
      </w:pPr>
      <w:r>
        <w:rPr>
          <w:b/>
        </w:rPr>
        <w:t>A trigger included in a PUSCH grant</w:t>
      </w:r>
    </w:p>
    <w:p w14:paraId="6369F4F4" w14:textId="573D9A2B" w:rsidR="0040146F" w:rsidRPr="00393913" w:rsidRDefault="0040146F" w:rsidP="00151FA6">
      <w:pPr>
        <w:pStyle w:val="ListParagraph"/>
        <w:numPr>
          <w:ilvl w:val="0"/>
          <w:numId w:val="48"/>
        </w:numPr>
        <w:spacing w:after="0"/>
        <w:rPr>
          <w:b/>
        </w:rPr>
      </w:pPr>
      <w:r>
        <w:rPr>
          <w:b/>
        </w:rPr>
        <w:t xml:space="preserve">A separate DCI </w:t>
      </w:r>
    </w:p>
    <w:bookmarkEnd w:id="15"/>
    <w:p w14:paraId="32B910CB" w14:textId="4833DA34" w:rsidR="00161561" w:rsidRPr="00393913" w:rsidRDefault="00161561" w:rsidP="00054388">
      <w:r w:rsidRPr="00393913">
        <w:t>A separate DCI could be</w:t>
      </w:r>
      <w:r w:rsidR="0072128B">
        <w:t xml:space="preserve"> common DCI or a </w:t>
      </w:r>
      <w:r w:rsidRPr="00393913">
        <w:t>UE-specific DCI.</w:t>
      </w:r>
      <w:r w:rsidR="00957EBC">
        <w:t xml:space="preserve"> </w:t>
      </w:r>
      <w:r w:rsidR="00293E41" w:rsidRPr="00393913">
        <w:t>Mechanisms to control which HARQ IDs are included in the feedback could be based on a window size included in the DCI (as described below) or a bitmap which indicates which HARQ IDs to include in the feedback.</w:t>
      </w:r>
    </w:p>
    <w:p w14:paraId="33C62BBF" w14:textId="76C25304" w:rsidR="00896CB0" w:rsidRDefault="00896CB0" w:rsidP="00054388">
      <w:r w:rsidRPr="00393913">
        <w:t>NR supports CBG based HARQ-ACK feedback. Similar CBG-based feedback support should also be provided</w:t>
      </w:r>
      <w:r w:rsidR="009F189E">
        <w:t xml:space="preserve"> for the group HARQ-</w:t>
      </w:r>
      <w:r w:rsidRPr="00393913">
        <w:t>ACK feedback</w:t>
      </w:r>
      <w:r>
        <w:t xml:space="preserve"> for NR-U</w:t>
      </w:r>
      <w:r w:rsidRPr="00393913">
        <w:t>. However, compression schemes for the CBG level group HARQ-ACK feedback should also be considered due to the high overhead it entails.</w:t>
      </w:r>
    </w:p>
    <w:p w14:paraId="6E4DC8E6" w14:textId="1C26B292" w:rsidR="00896CB0" w:rsidRDefault="00896CB0" w:rsidP="00896CB0">
      <w:pPr>
        <w:rPr>
          <w:b/>
        </w:rPr>
      </w:pPr>
      <w:bookmarkStart w:id="16" w:name="p9"/>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9F189E">
        <w:rPr>
          <w:b/>
          <w:noProof/>
          <w:u w:val="single"/>
        </w:rPr>
        <w:t>9</w:t>
      </w:r>
      <w:r>
        <w:rPr>
          <w:b/>
          <w:u w:val="single"/>
        </w:rPr>
        <w:fldChar w:fldCharType="end"/>
      </w:r>
      <w:r w:rsidRPr="003C413D">
        <w:rPr>
          <w:b/>
          <w:u w:val="single"/>
        </w:rPr>
        <w:t>:</w:t>
      </w:r>
      <w:r w:rsidRPr="003C413D">
        <w:rPr>
          <w:b/>
        </w:rPr>
        <w:t xml:space="preserve"> </w:t>
      </w:r>
      <w:r>
        <w:rPr>
          <w:b/>
        </w:rPr>
        <w:t>The group HARQ-ACK feedback should also support CBG level ACK/NACK feedback</w:t>
      </w:r>
    </w:p>
    <w:bookmarkEnd w:id="16"/>
    <w:p w14:paraId="27B5050C" w14:textId="2008CAA5" w:rsidR="003C413D" w:rsidRDefault="003C413D" w:rsidP="003C413D">
      <w:pPr>
        <w:pStyle w:val="Heading2"/>
      </w:pPr>
      <w:r>
        <w:t xml:space="preserve">HARQ ACK codebook </w:t>
      </w:r>
      <w:r w:rsidR="00862899">
        <w:t xml:space="preserve">size </w:t>
      </w:r>
      <w:r>
        <w:t>determination</w:t>
      </w:r>
      <w:r w:rsidR="00862899">
        <w:t xml:space="preserve"> enhancements</w:t>
      </w:r>
    </w:p>
    <w:p w14:paraId="5FACE57F" w14:textId="1B0E051E" w:rsidR="003C413D" w:rsidRDefault="003C413D" w:rsidP="003C413D">
      <w:r>
        <w:t xml:space="preserve">In the current NR design for HARQ ACK codebook size </w:t>
      </w:r>
      <w:r w:rsidR="009430D0">
        <w:t>determination</w:t>
      </w:r>
      <w:r>
        <w:t>, if the supported delays are from {1,2,..,8} the ACK codebook size would be 8 x #ACK bits for one TB. Now if we increas</w:t>
      </w:r>
      <w:r w:rsidR="009F189E">
        <w:t>e the number of supported delay</w:t>
      </w:r>
      <w:r>
        <w:t>s</w:t>
      </w:r>
      <w:r w:rsidR="009F189E">
        <w:t>,</w:t>
      </w:r>
      <w:r>
        <w:t xml:space="preserve"> the ACK codebook size would increase significantly. It may not be efficient to always mandate transmission of the larger sized ACK codebook. </w:t>
      </w:r>
    </w:p>
    <w:p w14:paraId="7343761A" w14:textId="1A7F3C58" w:rsidR="009430D0" w:rsidRDefault="00862899" w:rsidP="009430D0">
      <w:pPr>
        <w:keepNext/>
        <w:jc w:val="center"/>
      </w:pPr>
      <w:r>
        <w:object w:dxaOrig="8188" w:dyaOrig="11598" w14:anchorId="79402527">
          <v:shape id="_x0000_i1030" type="#_x0000_t75" style="width:176.5pt;height:249pt" o:ole="">
            <v:imagedata r:id="rId22" o:title=""/>
          </v:shape>
          <o:OLEObject Type="Embed" ProgID="Visio.Drawing.11" ShapeID="_x0000_i1030" DrawAspect="Content" ObjectID="_1595425644" r:id="rId23"/>
        </w:object>
      </w:r>
    </w:p>
    <w:p w14:paraId="3F472E0E" w14:textId="2C160E14" w:rsidR="003C413D" w:rsidRPr="003C413D" w:rsidRDefault="009430D0" w:rsidP="009430D0">
      <w:pPr>
        <w:pStyle w:val="Caption"/>
        <w:jc w:val="center"/>
      </w:pPr>
      <w:bookmarkStart w:id="17" w:name="_Ref513498825"/>
      <w:r>
        <w:t xml:space="preserve">Figure </w:t>
      </w:r>
      <w:r>
        <w:fldChar w:fldCharType="begin"/>
      </w:r>
      <w:r>
        <w:instrText xml:space="preserve"> SEQ Figure \* ARABIC </w:instrText>
      </w:r>
      <w:r>
        <w:fldChar w:fldCharType="separate"/>
      </w:r>
      <w:r w:rsidR="009F189E">
        <w:rPr>
          <w:noProof/>
        </w:rPr>
        <w:t>6</w:t>
      </w:r>
      <w:r>
        <w:fldChar w:fldCharType="end"/>
      </w:r>
      <w:bookmarkEnd w:id="17"/>
      <w:r>
        <w:t>: Dynamic adaptation of max delay for ACK codebook size determination</w:t>
      </w:r>
    </w:p>
    <w:p w14:paraId="4EC217B0" w14:textId="69DA829F" w:rsidR="003C413D" w:rsidRDefault="003C413D" w:rsidP="009430D0">
      <w:r>
        <w:t>To avoid increasing the number of ACK bits in every feedback a new field in the DCI can indicate the max delay to consider for the ACK feedback</w:t>
      </w:r>
      <w:r w:rsidR="009430D0">
        <w:t xml:space="preserve">. As an example, in </w:t>
      </w:r>
      <w:r w:rsidR="009430D0">
        <w:fldChar w:fldCharType="begin"/>
      </w:r>
      <w:r w:rsidR="009430D0">
        <w:instrText xml:space="preserve"> REF _Ref513498825 \h </w:instrText>
      </w:r>
      <w:r w:rsidR="009430D0">
        <w:fldChar w:fldCharType="separate"/>
      </w:r>
      <w:r w:rsidR="009F189E">
        <w:t xml:space="preserve">Figure </w:t>
      </w:r>
      <w:r w:rsidR="009F189E">
        <w:rPr>
          <w:noProof/>
        </w:rPr>
        <w:t>6</w:t>
      </w:r>
      <w:r w:rsidR="009430D0">
        <w:fldChar w:fldCharType="end"/>
      </w:r>
      <w:r w:rsidR="009430D0">
        <w:t xml:space="preserve">, we show a case where the DCI can indicate the max delay to be either 4 or 8. When things function normally the delay can be set to 4 so HARQ ACK feedback for 4 HARQ processes is included in each UL ACK feedback. However, if an LBT failure occurs the gNB can set the delay to 8 </w:t>
      </w:r>
      <w:r w:rsidR="00862899">
        <w:t>HARQ processes thereby giving a second opportunity for feedback of the HARQ ACK of the first 4 processes.</w:t>
      </w:r>
      <w:r w:rsidR="00891E9A">
        <w:t xml:space="preserve"> Note that in such a solution UE may be expected to transmit ACK on a</w:t>
      </w:r>
      <w:r w:rsidR="00230A22">
        <w:t xml:space="preserve"> </w:t>
      </w:r>
      <w:r w:rsidR="00891E9A">
        <w:t xml:space="preserve">slot </w:t>
      </w:r>
      <w:r w:rsidR="00230A22">
        <w:t xml:space="preserve">different from the one indicated by </w:t>
      </w:r>
      <w:r w:rsidR="00891E9A">
        <w:t>the ACK delay field in the DL grant. The new field may also control such behaviour. For example</w:t>
      </w:r>
      <w:r w:rsidR="00957EBC">
        <w:t>,</w:t>
      </w:r>
      <w:r w:rsidR="00891E9A">
        <w:t xml:space="preserve"> it may indicate whether the feedback should include </w:t>
      </w:r>
      <w:r w:rsidR="00230A22">
        <w:t xml:space="preserve">ACK feedback for </w:t>
      </w:r>
      <w:r w:rsidR="006D4E12">
        <w:t xml:space="preserve">all </w:t>
      </w:r>
      <w:r w:rsidR="00891E9A">
        <w:t>detected DL grants that are in the window or only include the detected DL grants that point to this slot.</w:t>
      </w:r>
      <w:r w:rsidR="00957EBC">
        <w:t xml:space="preserve"> Such a solution thus helps control the ACK overhead while at the same time enables providing multiple opportunities to transmit the ACK.</w:t>
      </w:r>
    </w:p>
    <w:p w14:paraId="3B762627" w14:textId="58FBF8FB" w:rsidR="00862899" w:rsidRDefault="00862899" w:rsidP="0072128B">
      <w:pPr>
        <w:rPr>
          <w:b/>
        </w:rPr>
      </w:pPr>
      <w:bookmarkStart w:id="18" w:name="p10"/>
      <w:r w:rsidRPr="00862899">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9F189E">
        <w:rPr>
          <w:b/>
          <w:noProof/>
          <w:u w:val="single"/>
        </w:rPr>
        <w:t>10</w:t>
      </w:r>
      <w:r w:rsidR="002614F6">
        <w:rPr>
          <w:b/>
          <w:u w:val="single"/>
        </w:rPr>
        <w:fldChar w:fldCharType="end"/>
      </w:r>
      <w:r w:rsidRPr="00862899">
        <w:rPr>
          <w:b/>
          <w:u w:val="single"/>
        </w:rPr>
        <w:t>:</w:t>
      </w:r>
      <w:r w:rsidRPr="00862899">
        <w:rPr>
          <w:b/>
        </w:rPr>
        <w:t xml:space="preserve"> Introduce a new field in the DCI that controls the max delay considered in </w:t>
      </w:r>
      <w:r w:rsidR="00CB1C2C">
        <w:rPr>
          <w:b/>
        </w:rPr>
        <w:t xml:space="preserve">semi-static </w:t>
      </w:r>
      <w:r w:rsidRPr="00862899">
        <w:rPr>
          <w:b/>
        </w:rPr>
        <w:t>HARQ ACK codebook size determination</w:t>
      </w:r>
      <w:r w:rsidR="00CA49D9">
        <w:rPr>
          <w:b/>
        </w:rPr>
        <w:t>.</w:t>
      </w:r>
      <w:bookmarkEnd w:id="18"/>
      <w:r w:rsidR="00CA49D9">
        <w:rPr>
          <w:b/>
        </w:rPr>
        <w:t xml:space="preserve"> </w:t>
      </w:r>
    </w:p>
    <w:p w14:paraId="1F4D2E7B" w14:textId="04EA428E" w:rsidR="00862899" w:rsidRDefault="00862899" w:rsidP="00862899">
      <w:pPr>
        <w:pStyle w:val="Heading2"/>
      </w:pPr>
      <w:r>
        <w:t>Enhancements to interpretation of HARQ ACK delay field</w:t>
      </w:r>
    </w:p>
    <w:p w14:paraId="0713AC3C" w14:textId="18C87A14" w:rsidR="003C413D" w:rsidRDefault="00331945" w:rsidP="00862899">
      <w:r>
        <w:t>Currently in NR, an ACK is transmitted corresponding to each received DCI in the slot determined based on the HARQ-ACK delay field.</w:t>
      </w:r>
      <w:r w:rsidR="00E23FBC">
        <w:t xml:space="preserve"> In NR-U however, in some scenarios we may not want an ACK to be trig</w:t>
      </w:r>
      <w:r w:rsidR="00471B18">
        <w:t>gered for some DL grants. For example, if the grant leads to the HARQ-ACK feedback outside the TxOP, we may want the ACK feedback to be skipped</w:t>
      </w:r>
      <w:r w:rsidR="007D2971">
        <w:t xml:space="preserve"> related to current grant and the ACK feedback may be explicitly triggered </w:t>
      </w:r>
      <w:r w:rsidR="00D122D1">
        <w:t>in subsequent TxOP</w:t>
      </w:r>
      <w:r w:rsidR="00471B18">
        <w:t>.</w:t>
      </w:r>
      <w:r>
        <w:t xml:space="preserve"> </w:t>
      </w:r>
      <w:r w:rsidR="00F22A7A">
        <w:t xml:space="preserve">We could add an explicit trigger </w:t>
      </w:r>
      <w:r w:rsidR="00E81116">
        <w:t>or reserve a delay val</w:t>
      </w:r>
      <w:r w:rsidR="00330DE8">
        <w:t>u</w:t>
      </w:r>
      <w:r w:rsidR="00E81116">
        <w:t>e in the HARQ-ACK delay field t</w:t>
      </w:r>
      <w:r w:rsidR="00F22A7A">
        <w:t>o indicate whether ACK needs to be transmitted</w:t>
      </w:r>
      <w:r w:rsidR="00E81116">
        <w:t xml:space="preserve"> or skipped</w:t>
      </w:r>
      <w:r w:rsidR="00F22A7A">
        <w:t xml:space="preserve"> corresponding to the current PDSCH</w:t>
      </w:r>
      <w:r w:rsidR="00862899">
        <w:t>.</w:t>
      </w:r>
    </w:p>
    <w:p w14:paraId="663928CF" w14:textId="3C72F613" w:rsidR="00891E9A" w:rsidRDefault="00862899" w:rsidP="00E81116">
      <w:pPr>
        <w:rPr>
          <w:b/>
        </w:rPr>
      </w:pPr>
      <w:bookmarkStart w:id="19" w:name="p11"/>
      <w:r w:rsidRPr="00862899">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9F189E">
        <w:rPr>
          <w:b/>
          <w:noProof/>
          <w:u w:val="single"/>
        </w:rPr>
        <w:t>11</w:t>
      </w:r>
      <w:r w:rsidR="002614F6">
        <w:rPr>
          <w:b/>
          <w:u w:val="single"/>
        </w:rPr>
        <w:fldChar w:fldCharType="end"/>
      </w:r>
      <w:r w:rsidRPr="00862899">
        <w:rPr>
          <w:b/>
          <w:u w:val="single"/>
        </w:rPr>
        <w:t>:</w:t>
      </w:r>
      <w:r w:rsidRPr="00862899">
        <w:rPr>
          <w:b/>
        </w:rPr>
        <w:t xml:space="preserve"> Introduce </w:t>
      </w:r>
      <w:r w:rsidR="00F22A7A">
        <w:rPr>
          <w:b/>
        </w:rPr>
        <w:t xml:space="preserve">mechanisms to disable ACK transmissions corresponding to </w:t>
      </w:r>
      <w:r w:rsidR="00330DE8">
        <w:rPr>
          <w:b/>
        </w:rPr>
        <w:t>a DL grant</w:t>
      </w:r>
    </w:p>
    <w:bookmarkEnd w:id="19"/>
    <w:p w14:paraId="517FC57B" w14:textId="05FB567F" w:rsidR="008D6BB8" w:rsidRDefault="008D6BB8" w:rsidP="00AD5768">
      <w:pPr>
        <w:pStyle w:val="Heading1"/>
      </w:pPr>
      <w:r w:rsidRPr="008D6BB8">
        <w:t>Conclusion</w:t>
      </w:r>
    </w:p>
    <w:p w14:paraId="14987893" w14:textId="5BBD0EDD" w:rsidR="00892742" w:rsidRPr="00892742" w:rsidRDefault="00892742" w:rsidP="00892742">
      <w:r w:rsidRPr="00892742">
        <w:t>The proposals made in this contribution are summarized below.</w:t>
      </w:r>
    </w:p>
    <w:p w14:paraId="61A3D491" w14:textId="77777777" w:rsidR="009F189E" w:rsidRPr="00DD1951" w:rsidRDefault="00E53E1B" w:rsidP="00297D03">
      <w:pPr>
        <w:rPr>
          <w:b/>
        </w:rPr>
      </w:pPr>
      <w:r>
        <w:rPr>
          <w:lang w:val="en-US"/>
        </w:rPr>
        <w:fldChar w:fldCharType="begin"/>
      </w:r>
      <w:r>
        <w:rPr>
          <w:lang w:val="en-US"/>
        </w:rPr>
        <w:instrText xml:space="preserve"> REF P1 \h </w:instrText>
      </w:r>
      <w:r>
        <w:rPr>
          <w:lang w:val="en-US"/>
        </w:rPr>
      </w:r>
      <w:r>
        <w:rPr>
          <w:lang w:val="en-US"/>
        </w:rPr>
        <w:fldChar w:fldCharType="separate"/>
      </w:r>
      <w:r w:rsidR="009F189E" w:rsidRPr="00DD1951">
        <w:rPr>
          <w:b/>
          <w:u w:val="single"/>
        </w:rPr>
        <w:t xml:space="preserve">Proposal </w:t>
      </w:r>
      <w:r w:rsidR="009F189E">
        <w:rPr>
          <w:b/>
          <w:noProof/>
          <w:u w:val="single"/>
        </w:rPr>
        <w:t>1</w:t>
      </w:r>
      <w:r w:rsidR="009F189E" w:rsidRPr="00DD1951">
        <w:rPr>
          <w:b/>
          <w:u w:val="single"/>
        </w:rPr>
        <w:t>:</w:t>
      </w:r>
      <w:r w:rsidR="009F189E" w:rsidRPr="00DD1951">
        <w:rPr>
          <w:b/>
        </w:rPr>
        <w:t xml:space="preserve"> Introduce </w:t>
      </w:r>
      <w:r w:rsidR="009F189E">
        <w:rPr>
          <w:b/>
        </w:rPr>
        <w:t>multi-slot grants with</w:t>
      </w:r>
      <w:r w:rsidR="009F189E" w:rsidRPr="00DD1951">
        <w:rPr>
          <w:b/>
        </w:rPr>
        <w:t xml:space="preserve"> the TB(s) rate matched jointly across the multiple allocated slots</w:t>
      </w:r>
    </w:p>
    <w:p w14:paraId="012B9BE6" w14:textId="77777777" w:rsidR="009F189E" w:rsidRPr="00D336D3" w:rsidRDefault="00E53E1B" w:rsidP="005B4F6E">
      <w:pPr>
        <w:rPr>
          <w:b/>
        </w:rPr>
      </w:pPr>
      <w:r>
        <w:rPr>
          <w:lang w:val="en-US"/>
        </w:rPr>
        <w:fldChar w:fldCharType="end"/>
      </w:r>
      <w:r>
        <w:rPr>
          <w:lang w:val="en-US"/>
        </w:rPr>
        <w:fldChar w:fldCharType="begin"/>
      </w:r>
      <w:r>
        <w:rPr>
          <w:lang w:val="en-US"/>
        </w:rPr>
        <w:instrText xml:space="preserve"> REF p2 \h </w:instrText>
      </w:r>
      <w:r>
        <w:rPr>
          <w:lang w:val="en-US"/>
        </w:rPr>
      </w:r>
      <w:r>
        <w:rPr>
          <w:lang w:val="en-US"/>
        </w:rPr>
        <w:fldChar w:fldCharType="separate"/>
      </w:r>
      <w:r w:rsidR="009F189E" w:rsidRPr="00D336D3">
        <w:rPr>
          <w:b/>
          <w:u w:val="single"/>
        </w:rPr>
        <w:t xml:space="preserve">Proposal </w:t>
      </w:r>
      <w:r w:rsidR="009F189E">
        <w:rPr>
          <w:b/>
          <w:noProof/>
          <w:u w:val="single"/>
        </w:rPr>
        <w:t>2</w:t>
      </w:r>
      <w:r w:rsidR="009F189E" w:rsidRPr="00D336D3">
        <w:rPr>
          <w:b/>
          <w:u w:val="single"/>
        </w:rPr>
        <w:t>:</w:t>
      </w:r>
      <w:r w:rsidR="009F189E" w:rsidRPr="00D336D3">
        <w:rPr>
          <w:b/>
        </w:rPr>
        <w:t xml:space="preserve"> Nu</w:t>
      </w:r>
      <w:bookmarkStart w:id="20" w:name="_GoBack"/>
      <w:bookmarkEnd w:id="20"/>
      <w:r w:rsidR="009F189E" w:rsidRPr="00D336D3">
        <w:rPr>
          <w:b/>
        </w:rPr>
        <w:t xml:space="preserve">mber of bits in the UL PUSCH </w:t>
      </w:r>
      <w:r w:rsidR="009F189E">
        <w:rPr>
          <w:b/>
        </w:rPr>
        <w:t>time domain resource assignment field</w:t>
      </w:r>
      <w:r w:rsidR="009F189E" w:rsidRPr="00D336D3">
        <w:rPr>
          <w:b/>
        </w:rPr>
        <w:t xml:space="preserve"> are increased</w:t>
      </w:r>
    </w:p>
    <w:p w14:paraId="07A0351E" w14:textId="77777777" w:rsidR="009F189E" w:rsidRPr="00D336D3" w:rsidRDefault="00E53E1B" w:rsidP="00A022A3">
      <w:pPr>
        <w:rPr>
          <w:b/>
        </w:rPr>
      </w:pPr>
      <w:r>
        <w:rPr>
          <w:lang w:val="en-US"/>
        </w:rPr>
        <w:fldChar w:fldCharType="end"/>
      </w:r>
      <w:r>
        <w:rPr>
          <w:lang w:val="en-US"/>
        </w:rPr>
        <w:fldChar w:fldCharType="begin"/>
      </w:r>
      <w:r>
        <w:rPr>
          <w:lang w:val="en-US"/>
        </w:rPr>
        <w:instrText xml:space="preserve"> REF P3 \h </w:instrText>
      </w:r>
      <w:r>
        <w:rPr>
          <w:lang w:val="en-US"/>
        </w:rPr>
      </w:r>
      <w:r>
        <w:rPr>
          <w:lang w:val="en-US"/>
        </w:rPr>
        <w:fldChar w:fldCharType="separate"/>
      </w:r>
      <w:r w:rsidR="009F189E" w:rsidRPr="00D336D3">
        <w:rPr>
          <w:b/>
          <w:u w:val="single"/>
        </w:rPr>
        <w:t xml:space="preserve">Proposal </w:t>
      </w:r>
      <w:r w:rsidR="009F189E">
        <w:rPr>
          <w:b/>
          <w:noProof/>
          <w:u w:val="single"/>
        </w:rPr>
        <w:t>3</w:t>
      </w:r>
      <w:r w:rsidR="009F189E" w:rsidRPr="00D336D3">
        <w:rPr>
          <w:b/>
          <w:u w:val="single"/>
        </w:rPr>
        <w:t>:</w:t>
      </w:r>
      <w:r w:rsidR="009F189E" w:rsidRPr="00D336D3">
        <w:rPr>
          <w:b/>
        </w:rPr>
        <w:t xml:space="preserve"> The multi-TTI grants should include support for transmitting mini-slots in the initial portion of the transmission followed by </w:t>
      </w:r>
      <w:r w:rsidR="009F189E">
        <w:rPr>
          <w:b/>
        </w:rPr>
        <w:t xml:space="preserve">switching to </w:t>
      </w:r>
      <w:r w:rsidR="009F189E" w:rsidRPr="00D336D3">
        <w:rPr>
          <w:b/>
        </w:rPr>
        <w:t>full slot at slot boundaries.</w:t>
      </w:r>
    </w:p>
    <w:p w14:paraId="0F3342FC" w14:textId="77777777" w:rsidR="009F189E" w:rsidRDefault="00E53E1B" w:rsidP="00A022A3">
      <w:pPr>
        <w:rPr>
          <w:b/>
        </w:rPr>
      </w:pPr>
      <w:r>
        <w:rPr>
          <w:lang w:val="en-US"/>
        </w:rPr>
        <w:fldChar w:fldCharType="end"/>
      </w:r>
      <w:r>
        <w:rPr>
          <w:lang w:val="en-US"/>
        </w:rPr>
        <w:fldChar w:fldCharType="begin"/>
      </w:r>
      <w:r>
        <w:rPr>
          <w:lang w:val="en-US"/>
        </w:rPr>
        <w:instrText xml:space="preserve"> REF P4 \h </w:instrText>
      </w:r>
      <w:r>
        <w:rPr>
          <w:lang w:val="en-US"/>
        </w:rPr>
      </w:r>
      <w:r>
        <w:rPr>
          <w:lang w:val="en-US"/>
        </w:rPr>
        <w:fldChar w:fldCharType="separate"/>
      </w:r>
      <w:r w:rsidR="009F189E" w:rsidRPr="00D336D3">
        <w:rPr>
          <w:b/>
          <w:u w:val="single"/>
        </w:rPr>
        <w:t xml:space="preserve">Proposal </w:t>
      </w:r>
      <w:r w:rsidR="009F189E">
        <w:rPr>
          <w:b/>
          <w:noProof/>
          <w:u w:val="single"/>
        </w:rPr>
        <w:t>4</w:t>
      </w:r>
      <w:r w:rsidR="009F189E" w:rsidRPr="00D336D3">
        <w:rPr>
          <w:b/>
          <w:u w:val="single"/>
        </w:rPr>
        <w:t>:</w:t>
      </w:r>
      <w:r w:rsidR="009F189E" w:rsidRPr="00D336D3">
        <w:rPr>
          <w:b/>
        </w:rPr>
        <w:t xml:space="preserve"> The multi-TTI grants should </w:t>
      </w:r>
      <w:r w:rsidR="009F189E">
        <w:rPr>
          <w:b/>
        </w:rPr>
        <w:t>also support CBG based retransmissions</w:t>
      </w:r>
    </w:p>
    <w:p w14:paraId="622A3EBF" w14:textId="77777777" w:rsidR="009F189E" w:rsidRDefault="00E53E1B" w:rsidP="00D07B87">
      <w:pPr>
        <w:rPr>
          <w:b/>
        </w:rPr>
      </w:pPr>
      <w:r>
        <w:rPr>
          <w:lang w:val="en-US"/>
        </w:rPr>
        <w:fldChar w:fldCharType="end"/>
      </w:r>
      <w:r>
        <w:rPr>
          <w:lang w:val="en-US"/>
        </w:rPr>
        <w:fldChar w:fldCharType="begin"/>
      </w:r>
      <w:r>
        <w:rPr>
          <w:lang w:val="en-US"/>
        </w:rPr>
        <w:instrText xml:space="preserve"> REF p5 \h </w:instrText>
      </w:r>
      <w:r>
        <w:rPr>
          <w:lang w:val="en-US"/>
        </w:rPr>
      </w:r>
      <w:r>
        <w:rPr>
          <w:lang w:val="en-US"/>
        </w:rPr>
        <w:fldChar w:fldCharType="separate"/>
      </w:r>
      <w:r w:rsidR="009F189E" w:rsidRPr="00D336D3">
        <w:rPr>
          <w:b/>
          <w:u w:val="single"/>
        </w:rPr>
        <w:t xml:space="preserve">Proposal </w:t>
      </w:r>
      <w:r w:rsidR="009F189E">
        <w:rPr>
          <w:b/>
          <w:noProof/>
          <w:u w:val="single"/>
        </w:rPr>
        <w:t>5</w:t>
      </w:r>
      <w:r w:rsidR="009F189E" w:rsidRPr="00D336D3">
        <w:rPr>
          <w:b/>
          <w:u w:val="single"/>
        </w:rPr>
        <w:t>:</w:t>
      </w:r>
      <w:r w:rsidR="009F189E" w:rsidRPr="00D336D3">
        <w:rPr>
          <w:b/>
        </w:rPr>
        <w:t xml:space="preserve"> T</w:t>
      </w:r>
      <w:r w:rsidR="009F189E">
        <w:rPr>
          <w:b/>
        </w:rPr>
        <w:t>wo-stage grant where a first grant gives the parameters necessary for PUSCH transmission preparation and a second grant that provides the trigger for PUSCH transmission should be supported for scheduling PUSCH.</w:t>
      </w:r>
    </w:p>
    <w:p w14:paraId="48E06135" w14:textId="77777777" w:rsidR="009F189E" w:rsidRDefault="00E53E1B" w:rsidP="00A86414">
      <w:pPr>
        <w:rPr>
          <w:b/>
        </w:rPr>
      </w:pPr>
      <w:r>
        <w:rPr>
          <w:lang w:val="en-US"/>
        </w:rPr>
        <w:lastRenderedPageBreak/>
        <w:fldChar w:fldCharType="end"/>
      </w:r>
      <w:r>
        <w:rPr>
          <w:lang w:val="en-US"/>
        </w:rPr>
        <w:fldChar w:fldCharType="begin"/>
      </w:r>
      <w:r>
        <w:rPr>
          <w:lang w:val="en-US"/>
        </w:rPr>
        <w:instrText xml:space="preserve"> REF p6 \h </w:instrText>
      </w:r>
      <w:r>
        <w:rPr>
          <w:lang w:val="en-US"/>
        </w:rPr>
      </w:r>
      <w:r>
        <w:rPr>
          <w:lang w:val="en-US"/>
        </w:rPr>
        <w:fldChar w:fldCharType="separate"/>
      </w:r>
      <w:r w:rsidR="009F189E" w:rsidRPr="00A86414">
        <w:rPr>
          <w:b/>
          <w:u w:val="single"/>
        </w:rPr>
        <w:t xml:space="preserve">Proposal </w:t>
      </w:r>
      <w:r w:rsidR="009F189E">
        <w:rPr>
          <w:b/>
          <w:noProof/>
          <w:u w:val="single"/>
        </w:rPr>
        <w:t>6</w:t>
      </w:r>
      <w:r w:rsidR="009F189E" w:rsidRPr="00A86414">
        <w:rPr>
          <w:b/>
          <w:u w:val="single"/>
        </w:rPr>
        <w:t>:</w:t>
      </w:r>
      <w:r w:rsidR="009F189E" w:rsidRPr="00A86414">
        <w:rPr>
          <w:b/>
        </w:rPr>
        <w:t xml:space="preserve"> Switches between DL and UL </w:t>
      </w:r>
      <w:r w:rsidR="009F189E">
        <w:rPr>
          <w:b/>
        </w:rPr>
        <w:t xml:space="preserve">for exchange of control information during data transmission </w:t>
      </w:r>
      <w:r w:rsidR="009F189E" w:rsidRPr="00A86414">
        <w:rPr>
          <w:b/>
        </w:rPr>
        <w:t>should be supported</w:t>
      </w:r>
      <w:r w:rsidR="009F189E">
        <w:rPr>
          <w:b/>
        </w:rPr>
        <w:t>. The switching should</w:t>
      </w:r>
      <w:r w:rsidR="009F189E" w:rsidRPr="00A86414">
        <w:rPr>
          <w:b/>
        </w:rPr>
        <w:t xml:space="preserve"> </w:t>
      </w:r>
      <w:r w:rsidR="009F189E">
        <w:rPr>
          <w:b/>
        </w:rPr>
        <w:t xml:space="preserve">not </w:t>
      </w:r>
      <w:r w:rsidR="009F189E" w:rsidRPr="00A86414">
        <w:rPr>
          <w:b/>
        </w:rPr>
        <w:t>requir</w:t>
      </w:r>
      <w:r w:rsidR="009F189E">
        <w:rPr>
          <w:b/>
        </w:rPr>
        <w:t>e</w:t>
      </w:r>
      <w:r w:rsidR="009F189E" w:rsidRPr="00A86414">
        <w:rPr>
          <w:b/>
        </w:rPr>
        <w:t xml:space="preserve"> any LBT when the gap is within the regulatory requirements</w:t>
      </w:r>
      <w:r w:rsidR="009F189E">
        <w:rPr>
          <w:b/>
        </w:rPr>
        <w:t>. This includes</w:t>
      </w:r>
    </w:p>
    <w:p w14:paraId="62FE1C79" w14:textId="77777777" w:rsidR="009F189E" w:rsidRDefault="009F189E" w:rsidP="00A86414">
      <w:pPr>
        <w:pStyle w:val="ListParagraph"/>
        <w:numPr>
          <w:ilvl w:val="0"/>
          <w:numId w:val="45"/>
        </w:numPr>
        <w:rPr>
          <w:b/>
        </w:rPr>
      </w:pPr>
      <w:r>
        <w:rPr>
          <w:b/>
        </w:rPr>
        <w:t xml:space="preserve">UCI transmission such as for </w:t>
      </w:r>
      <w:r w:rsidRPr="00A86414">
        <w:rPr>
          <w:b/>
        </w:rPr>
        <w:t>HARQ ACK between DL slots</w:t>
      </w:r>
      <w:r>
        <w:rPr>
          <w:b/>
        </w:rPr>
        <w:t xml:space="preserve"> carrying PDCCH/PDSCH</w:t>
      </w:r>
    </w:p>
    <w:p w14:paraId="49972F37" w14:textId="77777777" w:rsidR="009F189E" w:rsidRPr="00A86414" w:rsidRDefault="009F189E" w:rsidP="00151FA6">
      <w:pPr>
        <w:pStyle w:val="ListParagraph"/>
        <w:numPr>
          <w:ilvl w:val="0"/>
          <w:numId w:val="45"/>
        </w:numPr>
        <w:spacing w:after="0"/>
        <w:rPr>
          <w:b/>
        </w:rPr>
      </w:pPr>
      <w:r>
        <w:rPr>
          <w:b/>
        </w:rPr>
        <w:t>DCI transmission such as for UL grants between UL slots carrying PUCCH/PUSCH</w:t>
      </w:r>
    </w:p>
    <w:p w14:paraId="01EE05F7" w14:textId="77777777" w:rsidR="009F189E" w:rsidRDefault="00E53E1B" w:rsidP="00151FA6">
      <w:pPr>
        <w:spacing w:after="0"/>
        <w:rPr>
          <w:b/>
        </w:rPr>
      </w:pPr>
      <w:r>
        <w:rPr>
          <w:lang w:val="en-US"/>
        </w:rPr>
        <w:fldChar w:fldCharType="end"/>
      </w:r>
      <w:r>
        <w:rPr>
          <w:lang w:val="en-US"/>
        </w:rPr>
        <w:fldChar w:fldCharType="begin"/>
      </w:r>
      <w:r>
        <w:rPr>
          <w:lang w:val="en-US"/>
        </w:rPr>
        <w:instrText xml:space="preserve"> REF p7 \h </w:instrText>
      </w:r>
      <w:r>
        <w:rPr>
          <w:lang w:val="en-US"/>
        </w:rPr>
      </w:r>
      <w:r>
        <w:rPr>
          <w:lang w:val="en-US"/>
        </w:rPr>
        <w:fldChar w:fldCharType="separate"/>
      </w:r>
      <w:r w:rsidR="009F189E" w:rsidRPr="003C413D">
        <w:rPr>
          <w:b/>
          <w:u w:val="single"/>
        </w:rPr>
        <w:t xml:space="preserve">Proposal </w:t>
      </w:r>
      <w:r w:rsidR="009F189E">
        <w:rPr>
          <w:b/>
          <w:noProof/>
          <w:u w:val="single"/>
        </w:rPr>
        <w:t>7</w:t>
      </w:r>
      <w:r w:rsidR="009F189E" w:rsidRPr="003C413D">
        <w:rPr>
          <w:b/>
          <w:u w:val="single"/>
        </w:rPr>
        <w:t>:</w:t>
      </w:r>
      <w:r w:rsidR="009F189E" w:rsidRPr="003C413D">
        <w:rPr>
          <w:b/>
        </w:rPr>
        <w:t xml:space="preserve"> </w:t>
      </w:r>
      <w:r w:rsidR="009F189E">
        <w:rPr>
          <w:b/>
        </w:rPr>
        <w:t>Support configurable</w:t>
      </w:r>
      <w:r w:rsidR="009F189E" w:rsidRPr="003C413D">
        <w:rPr>
          <w:b/>
        </w:rPr>
        <w:t xml:space="preserve"> </w:t>
      </w:r>
      <w:r w:rsidR="009F189E">
        <w:rPr>
          <w:b/>
        </w:rPr>
        <w:t xml:space="preserve">bitwidth for </w:t>
      </w:r>
      <w:r w:rsidR="009F189E" w:rsidRPr="009946AF">
        <w:rPr>
          <w:rFonts w:hint="eastAsia"/>
          <w:b/>
          <w:i/>
          <w:lang w:eastAsia="zh-CN"/>
        </w:rPr>
        <w:t>PDSCH-to-HARQ_feedback timing indicator</w:t>
      </w:r>
      <w:r w:rsidR="009F189E" w:rsidRPr="009946AF">
        <w:rPr>
          <w:b/>
          <w:i/>
        </w:rPr>
        <w:t xml:space="preserve"> </w:t>
      </w:r>
      <w:r w:rsidR="009F189E">
        <w:rPr>
          <w:b/>
        </w:rPr>
        <w:t xml:space="preserve">from 0 to N bits </w:t>
      </w:r>
    </w:p>
    <w:p w14:paraId="236780A4" w14:textId="77777777" w:rsidR="009F189E" w:rsidRDefault="009F189E" w:rsidP="00151FA6">
      <w:pPr>
        <w:pStyle w:val="ListParagraph"/>
        <w:numPr>
          <w:ilvl w:val="0"/>
          <w:numId w:val="46"/>
        </w:numPr>
        <w:spacing w:after="0"/>
        <w:rPr>
          <w:b/>
        </w:rPr>
      </w:pPr>
      <w:r w:rsidRPr="009946AF">
        <w:rPr>
          <w:b/>
        </w:rPr>
        <w:t xml:space="preserve">0 bit to handle triggered group HARQ ACK feedback </w:t>
      </w:r>
    </w:p>
    <w:p w14:paraId="54BED7FD" w14:textId="77777777" w:rsidR="009F189E" w:rsidRPr="009946AF" w:rsidRDefault="009F189E" w:rsidP="00151FA6">
      <w:pPr>
        <w:pStyle w:val="ListParagraph"/>
        <w:numPr>
          <w:ilvl w:val="0"/>
          <w:numId w:val="46"/>
        </w:numPr>
        <w:spacing w:after="0"/>
        <w:rPr>
          <w:b/>
        </w:rPr>
      </w:pPr>
      <w:r w:rsidRPr="009946AF">
        <w:rPr>
          <w:b/>
        </w:rPr>
        <w:t>N&gt;3 bits to support more flexible feedback timing</w:t>
      </w:r>
    </w:p>
    <w:p w14:paraId="4FBCEB98" w14:textId="77777777" w:rsidR="009F189E" w:rsidRDefault="00E53E1B" w:rsidP="00151FA6">
      <w:pPr>
        <w:spacing w:after="0"/>
        <w:rPr>
          <w:b/>
        </w:rPr>
      </w:pPr>
      <w:r>
        <w:rPr>
          <w:lang w:val="en-US"/>
        </w:rPr>
        <w:fldChar w:fldCharType="end"/>
      </w:r>
      <w:r>
        <w:rPr>
          <w:lang w:val="en-US"/>
        </w:rPr>
        <w:fldChar w:fldCharType="begin"/>
      </w:r>
      <w:r>
        <w:rPr>
          <w:lang w:val="en-US"/>
        </w:rPr>
        <w:instrText xml:space="preserve"> REF p8 \h </w:instrText>
      </w:r>
      <w:r>
        <w:rPr>
          <w:lang w:val="en-US"/>
        </w:rPr>
      </w:r>
      <w:r>
        <w:rPr>
          <w:lang w:val="en-US"/>
        </w:rPr>
        <w:fldChar w:fldCharType="separate"/>
      </w:r>
      <w:r w:rsidR="009F189E" w:rsidRPr="003C413D">
        <w:rPr>
          <w:b/>
          <w:u w:val="single"/>
        </w:rPr>
        <w:t xml:space="preserve">Proposal </w:t>
      </w:r>
      <w:r w:rsidR="009F189E">
        <w:rPr>
          <w:b/>
          <w:noProof/>
          <w:u w:val="single"/>
        </w:rPr>
        <w:t>8</w:t>
      </w:r>
      <w:r w:rsidR="009F189E" w:rsidRPr="003C413D">
        <w:rPr>
          <w:b/>
          <w:u w:val="single"/>
        </w:rPr>
        <w:t>:</w:t>
      </w:r>
      <w:r w:rsidR="009F189E" w:rsidRPr="003C413D">
        <w:rPr>
          <w:b/>
        </w:rPr>
        <w:t xml:space="preserve"> Introduce </w:t>
      </w:r>
      <w:r w:rsidR="009F189E">
        <w:rPr>
          <w:b/>
        </w:rPr>
        <w:t xml:space="preserve">the following </w:t>
      </w:r>
      <w:r w:rsidR="009F189E" w:rsidRPr="003C413D">
        <w:rPr>
          <w:b/>
        </w:rPr>
        <w:t xml:space="preserve">mechanisms </w:t>
      </w:r>
      <w:r w:rsidR="009F189E">
        <w:rPr>
          <w:b/>
        </w:rPr>
        <w:t>to trigger group</w:t>
      </w:r>
      <w:r w:rsidR="009F189E" w:rsidRPr="003C413D">
        <w:rPr>
          <w:b/>
        </w:rPr>
        <w:t xml:space="preserve"> HARQ ACK </w:t>
      </w:r>
      <w:r w:rsidR="009F189E">
        <w:rPr>
          <w:b/>
        </w:rPr>
        <w:t>feedback for all configured HARQ processes</w:t>
      </w:r>
    </w:p>
    <w:p w14:paraId="1DA701EF" w14:textId="77777777" w:rsidR="009F189E" w:rsidRDefault="009F189E" w:rsidP="00151FA6">
      <w:pPr>
        <w:pStyle w:val="ListParagraph"/>
        <w:numPr>
          <w:ilvl w:val="0"/>
          <w:numId w:val="48"/>
        </w:numPr>
        <w:spacing w:after="0"/>
        <w:rPr>
          <w:b/>
        </w:rPr>
      </w:pPr>
      <w:r>
        <w:rPr>
          <w:b/>
        </w:rPr>
        <w:t>A trigger included in the DL PDSCH grant</w:t>
      </w:r>
    </w:p>
    <w:p w14:paraId="2B01F95B" w14:textId="77777777" w:rsidR="009F189E" w:rsidRDefault="009F189E" w:rsidP="00151FA6">
      <w:pPr>
        <w:pStyle w:val="ListParagraph"/>
        <w:numPr>
          <w:ilvl w:val="0"/>
          <w:numId w:val="48"/>
        </w:numPr>
        <w:spacing w:after="0"/>
        <w:rPr>
          <w:b/>
        </w:rPr>
      </w:pPr>
      <w:r>
        <w:rPr>
          <w:b/>
        </w:rPr>
        <w:t>A trigger included in a PUSCH grant</w:t>
      </w:r>
    </w:p>
    <w:p w14:paraId="05C7CF23" w14:textId="77777777" w:rsidR="009F189E" w:rsidRPr="00393913" w:rsidRDefault="009F189E" w:rsidP="00151FA6">
      <w:pPr>
        <w:pStyle w:val="ListParagraph"/>
        <w:numPr>
          <w:ilvl w:val="0"/>
          <w:numId w:val="48"/>
        </w:numPr>
        <w:spacing w:after="0"/>
        <w:rPr>
          <w:b/>
        </w:rPr>
      </w:pPr>
      <w:r>
        <w:rPr>
          <w:b/>
        </w:rPr>
        <w:t xml:space="preserve">A separate DCI </w:t>
      </w:r>
    </w:p>
    <w:p w14:paraId="071DFA43" w14:textId="77777777" w:rsidR="009F189E" w:rsidRDefault="00E53E1B" w:rsidP="00896CB0">
      <w:pPr>
        <w:rPr>
          <w:b/>
        </w:rPr>
      </w:pPr>
      <w:r>
        <w:rPr>
          <w:lang w:val="en-US"/>
        </w:rPr>
        <w:fldChar w:fldCharType="end"/>
      </w:r>
      <w:r>
        <w:rPr>
          <w:lang w:val="en-US"/>
        </w:rPr>
        <w:fldChar w:fldCharType="begin"/>
      </w:r>
      <w:r>
        <w:rPr>
          <w:lang w:val="en-US"/>
        </w:rPr>
        <w:instrText xml:space="preserve"> REF p9 \h </w:instrText>
      </w:r>
      <w:r>
        <w:rPr>
          <w:lang w:val="en-US"/>
        </w:rPr>
      </w:r>
      <w:r>
        <w:rPr>
          <w:lang w:val="en-US"/>
        </w:rPr>
        <w:fldChar w:fldCharType="separate"/>
      </w:r>
      <w:r w:rsidR="009F189E" w:rsidRPr="003C413D">
        <w:rPr>
          <w:b/>
          <w:u w:val="single"/>
        </w:rPr>
        <w:t xml:space="preserve">Proposal </w:t>
      </w:r>
      <w:r w:rsidR="009F189E">
        <w:rPr>
          <w:b/>
          <w:noProof/>
          <w:u w:val="single"/>
        </w:rPr>
        <w:t>9</w:t>
      </w:r>
      <w:r w:rsidR="009F189E" w:rsidRPr="003C413D">
        <w:rPr>
          <w:b/>
          <w:u w:val="single"/>
        </w:rPr>
        <w:t>:</w:t>
      </w:r>
      <w:r w:rsidR="009F189E" w:rsidRPr="003C413D">
        <w:rPr>
          <w:b/>
        </w:rPr>
        <w:t xml:space="preserve"> </w:t>
      </w:r>
      <w:r w:rsidR="009F189E">
        <w:rPr>
          <w:b/>
        </w:rPr>
        <w:t>The group HARQ-ACK feedback should also support CBG level ACK/NACK feedback</w:t>
      </w:r>
    </w:p>
    <w:p w14:paraId="5AAC8021" w14:textId="415F6564" w:rsidR="00E53E1B" w:rsidRPr="00E74E62" w:rsidRDefault="00E53E1B" w:rsidP="00E53E1B">
      <w:pPr>
        <w:pStyle w:val="Heading1"/>
        <w:numPr>
          <w:ilvl w:val="0"/>
          <w:numId w:val="0"/>
        </w:numPr>
        <w:rPr>
          <w:rFonts w:ascii="Times" w:hAnsi="Times" w:cs="Times New Roman"/>
          <w:bCs w:val="0"/>
          <w:kern w:val="0"/>
          <w:sz w:val="20"/>
          <w:szCs w:val="24"/>
        </w:rPr>
      </w:pPr>
      <w:r>
        <w:rPr>
          <w:lang w:val="en-US"/>
        </w:rPr>
        <w:fldChar w:fldCharType="end"/>
      </w:r>
      <w:r w:rsidRPr="00E74E62">
        <w:rPr>
          <w:rFonts w:ascii="Times" w:hAnsi="Times" w:cs="Times New Roman"/>
          <w:bCs w:val="0"/>
          <w:kern w:val="0"/>
          <w:sz w:val="20"/>
          <w:szCs w:val="24"/>
        </w:rPr>
        <w:fldChar w:fldCharType="begin"/>
      </w:r>
      <w:r w:rsidRPr="00E74E62">
        <w:rPr>
          <w:rFonts w:ascii="Times" w:hAnsi="Times" w:cs="Times New Roman"/>
          <w:bCs w:val="0"/>
          <w:kern w:val="0"/>
          <w:sz w:val="20"/>
          <w:szCs w:val="24"/>
        </w:rPr>
        <w:instrText xml:space="preserve"> REF p10 \h  \* MERGEFORMAT </w:instrText>
      </w:r>
      <w:r w:rsidRPr="00E74E62">
        <w:rPr>
          <w:rFonts w:ascii="Times" w:hAnsi="Times" w:cs="Times New Roman"/>
          <w:bCs w:val="0"/>
          <w:kern w:val="0"/>
          <w:sz w:val="20"/>
          <w:szCs w:val="24"/>
        </w:rPr>
      </w:r>
      <w:r w:rsidRPr="00E74E62">
        <w:rPr>
          <w:rFonts w:ascii="Times" w:hAnsi="Times" w:cs="Times New Roman"/>
          <w:bCs w:val="0"/>
          <w:kern w:val="0"/>
          <w:sz w:val="20"/>
          <w:szCs w:val="24"/>
        </w:rPr>
        <w:fldChar w:fldCharType="separate"/>
      </w:r>
      <w:r w:rsidR="009F189E" w:rsidRPr="009F189E">
        <w:rPr>
          <w:rFonts w:ascii="Times" w:hAnsi="Times" w:cs="Times New Roman"/>
          <w:bCs w:val="0"/>
          <w:kern w:val="0"/>
          <w:sz w:val="20"/>
          <w:szCs w:val="24"/>
        </w:rPr>
        <w:t>Proposal 10: Introduce a new field in the DCI that controls the max delay considered in semi-static HARQ ACK codebook size determination.</w:t>
      </w:r>
      <w:r w:rsidRPr="00E74E62">
        <w:rPr>
          <w:rFonts w:ascii="Times" w:hAnsi="Times" w:cs="Times New Roman"/>
          <w:bCs w:val="0"/>
          <w:kern w:val="0"/>
          <w:sz w:val="20"/>
          <w:szCs w:val="24"/>
        </w:rPr>
        <w:fldChar w:fldCharType="end"/>
      </w:r>
    </w:p>
    <w:p w14:paraId="0C945706" w14:textId="77777777" w:rsidR="009F189E" w:rsidRDefault="00E53E1B" w:rsidP="00E81116">
      <w:pPr>
        <w:rPr>
          <w:b/>
        </w:rPr>
      </w:pPr>
      <w:r>
        <w:rPr>
          <w:lang w:val="en-US"/>
        </w:rPr>
        <w:fldChar w:fldCharType="begin"/>
      </w:r>
      <w:r>
        <w:rPr>
          <w:lang w:val="en-US"/>
        </w:rPr>
        <w:instrText xml:space="preserve"> REF p11 \h </w:instrText>
      </w:r>
      <w:r>
        <w:rPr>
          <w:lang w:val="en-US"/>
        </w:rPr>
      </w:r>
      <w:r>
        <w:rPr>
          <w:lang w:val="en-US"/>
        </w:rPr>
        <w:fldChar w:fldCharType="separate"/>
      </w:r>
      <w:r w:rsidR="009F189E" w:rsidRPr="00862899">
        <w:rPr>
          <w:b/>
          <w:u w:val="single"/>
        </w:rPr>
        <w:t xml:space="preserve">Proposal </w:t>
      </w:r>
      <w:r w:rsidR="009F189E">
        <w:rPr>
          <w:b/>
          <w:noProof/>
          <w:u w:val="single"/>
        </w:rPr>
        <w:t>11</w:t>
      </w:r>
      <w:r w:rsidR="009F189E" w:rsidRPr="00862899">
        <w:rPr>
          <w:b/>
          <w:u w:val="single"/>
        </w:rPr>
        <w:t>:</w:t>
      </w:r>
      <w:r w:rsidR="009F189E" w:rsidRPr="00862899">
        <w:rPr>
          <w:b/>
        </w:rPr>
        <w:t xml:space="preserve"> Introduce </w:t>
      </w:r>
      <w:r w:rsidR="009F189E">
        <w:rPr>
          <w:b/>
        </w:rPr>
        <w:t>mechanisms to disable ACK transmissions corresponding to a DL grant</w:t>
      </w:r>
    </w:p>
    <w:p w14:paraId="371A46D5" w14:textId="0A1ADA6C" w:rsidR="00427643" w:rsidRPr="0099619E" w:rsidRDefault="00E53E1B" w:rsidP="00AD5768">
      <w:pPr>
        <w:pStyle w:val="Heading1"/>
        <w:numPr>
          <w:ilvl w:val="0"/>
          <w:numId w:val="0"/>
        </w:numPr>
        <w:rPr>
          <w:lang w:val="en-US"/>
        </w:rPr>
      </w:pPr>
      <w:r>
        <w:rPr>
          <w:lang w:val="en-US"/>
        </w:rPr>
        <w:fldChar w:fldCharType="end"/>
      </w:r>
      <w:r w:rsidR="00427643" w:rsidRPr="0099619E">
        <w:rPr>
          <w:lang w:val="en-US"/>
        </w:rPr>
        <w:t>References</w:t>
      </w:r>
    </w:p>
    <w:p w14:paraId="48C7C383" w14:textId="05E116FB" w:rsidR="00100305" w:rsidRDefault="005052A5" w:rsidP="00100305">
      <w:pPr>
        <w:pStyle w:val="BodyText"/>
        <w:overflowPunct w:val="0"/>
        <w:textAlignment w:val="baseline"/>
        <w:rPr>
          <w:rFonts w:ascii="Times New Roman" w:hAnsi="Times New Roman"/>
          <w:lang w:eastAsia="ko-KR"/>
        </w:rPr>
      </w:pPr>
      <w:r>
        <w:rPr>
          <w:rFonts w:ascii="Times New Roman" w:hAnsi="Times New Roman"/>
          <w:lang w:eastAsia="ko-KR"/>
        </w:rPr>
        <w:t>[</w:t>
      </w:r>
      <w:r w:rsidR="00F36F80">
        <w:rPr>
          <w:rFonts w:ascii="Times New Roman" w:hAnsi="Times New Roman"/>
          <w:lang w:eastAsia="ko-KR"/>
        </w:rPr>
        <w:t>1</w:t>
      </w:r>
      <w:r>
        <w:rPr>
          <w:rFonts w:ascii="Times New Roman" w:hAnsi="Times New Roman"/>
          <w:lang w:eastAsia="ko-KR"/>
        </w:rPr>
        <w:t xml:space="preserve">]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r w:rsidR="00100305">
        <w:rPr>
          <w:rFonts w:ascii="Times New Roman" w:hAnsi="Times New Roman"/>
          <w:lang w:eastAsia="ko-KR"/>
        </w:rPr>
        <w:t xml:space="preserve">, </w:t>
      </w:r>
      <w:r w:rsidR="00100305" w:rsidRPr="00100305">
        <w:rPr>
          <w:rFonts w:ascii="Times New Roman" w:hAnsi="Times New Roman"/>
          <w:lang w:eastAsia="ko-KR"/>
        </w:rPr>
        <w:t>Sapporo, Japan, September 11 - 14, 2017</w:t>
      </w:r>
      <w:r w:rsidR="00100305">
        <w:rPr>
          <w:rFonts w:ascii="Times New Roman" w:hAnsi="Times New Roman"/>
          <w:lang w:eastAsia="ko-KR"/>
        </w:rPr>
        <w:t>.</w:t>
      </w:r>
    </w:p>
    <w:p w14:paraId="4537A145" w14:textId="5580324C" w:rsidR="00F84F71" w:rsidRDefault="00100305" w:rsidP="00100305">
      <w:pPr>
        <w:pStyle w:val="BodyText"/>
        <w:overflowPunct w:val="0"/>
        <w:textAlignment w:val="baseline"/>
        <w:rPr>
          <w:rFonts w:ascii="Times New Roman" w:hAnsi="Times New Roman"/>
          <w:lang w:eastAsia="ko-KR"/>
        </w:rPr>
      </w:pPr>
      <w:r w:rsidRPr="00100305">
        <w:rPr>
          <w:rFonts w:ascii="Times New Roman" w:hAnsi="Times New Roman"/>
          <w:lang w:eastAsia="ko-KR"/>
        </w:rPr>
        <w:t xml:space="preserve">[2] RP-181339, “Revised SID on NR-based Access to Unlicensed Spectrum”, </w:t>
      </w:r>
      <w:r w:rsidRPr="005052A5">
        <w:rPr>
          <w:rFonts w:ascii="Times New Roman" w:hAnsi="Times New Roman"/>
          <w:lang w:eastAsia="ko-KR"/>
        </w:rPr>
        <w:t>Qualcomm Incorporated</w:t>
      </w:r>
      <w:r>
        <w:rPr>
          <w:rFonts w:ascii="Times New Roman" w:hAnsi="Times New Roman"/>
          <w:lang w:eastAsia="ko-KR"/>
        </w:rPr>
        <w:t xml:space="preserve">, </w:t>
      </w:r>
      <w:r w:rsidRPr="00100305">
        <w:rPr>
          <w:rFonts w:ascii="Times New Roman" w:hAnsi="Times New Roman"/>
          <w:lang w:eastAsia="ko-KR"/>
        </w:rPr>
        <w:t>RAN#80</w:t>
      </w:r>
      <w:r>
        <w:rPr>
          <w:rFonts w:ascii="Times New Roman" w:hAnsi="Times New Roman"/>
          <w:lang w:eastAsia="ko-KR"/>
        </w:rPr>
        <w:t xml:space="preserve">, </w:t>
      </w:r>
      <w:r w:rsidRPr="00100305">
        <w:rPr>
          <w:rFonts w:ascii="Times New Roman" w:hAnsi="Times New Roman"/>
          <w:lang w:eastAsia="ko-KR"/>
        </w:rPr>
        <w:t>La Jolla, USA, June 11-14, 2018</w:t>
      </w:r>
      <w:r>
        <w:rPr>
          <w:rFonts w:ascii="Times New Roman" w:hAnsi="Times New Roman"/>
          <w:lang w:eastAsia="ko-KR"/>
        </w:rPr>
        <w:t>.</w:t>
      </w:r>
    </w:p>
    <w:p w14:paraId="7FE614DA" w14:textId="77777777" w:rsidR="007424DA" w:rsidRDefault="007424DA" w:rsidP="001E1FCE">
      <w:pPr>
        <w:pStyle w:val="BodyText"/>
        <w:overflowPunct w:val="0"/>
        <w:ind w:left="420" w:hanging="240"/>
        <w:textAlignment w:val="baseline"/>
        <w:rPr>
          <w:rFonts w:ascii="Times New Roman" w:hAnsi="Times New Roman"/>
          <w:lang w:eastAsia="ko-KR"/>
        </w:rPr>
      </w:pPr>
    </w:p>
    <w:sectPr w:rsidR="007424DA" w:rsidSect="0012020F">
      <w:footerReference w:type="default" r:id="rId2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1CF0D" w14:textId="77777777" w:rsidR="008C0F30" w:rsidRDefault="008C0F30"/>
  </w:endnote>
  <w:endnote w:type="continuationSeparator" w:id="0">
    <w:p w14:paraId="6D671151" w14:textId="77777777" w:rsidR="008C0F30" w:rsidRDefault="008C0F30"/>
  </w:endnote>
  <w:endnote w:type="continuationNotice" w:id="1">
    <w:p w14:paraId="57180E85" w14:textId="77777777" w:rsidR="008C0F30" w:rsidRDefault="008C0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4A51B8" w:rsidRDefault="004A51B8">
    <w:pPr>
      <w:pStyle w:val="Footer"/>
    </w:pPr>
  </w:p>
  <w:p w14:paraId="3A68EC39" w14:textId="77777777" w:rsidR="004A51B8" w:rsidRDefault="004A5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6B45D" w14:textId="77777777" w:rsidR="008C0F30" w:rsidRDefault="008C0F30"/>
  </w:footnote>
  <w:footnote w:type="continuationSeparator" w:id="0">
    <w:p w14:paraId="6918BF3C" w14:textId="77777777" w:rsidR="008C0F30" w:rsidRDefault="008C0F30"/>
  </w:footnote>
  <w:footnote w:type="continuationNotice" w:id="1">
    <w:p w14:paraId="7C8E9871" w14:textId="77777777" w:rsidR="008C0F30" w:rsidRDefault="008C0F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B39D8"/>
    <w:multiLevelType w:val="hybridMultilevel"/>
    <w:tmpl w:val="A626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208F3"/>
    <w:multiLevelType w:val="hybridMultilevel"/>
    <w:tmpl w:val="165E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21FD6"/>
    <w:multiLevelType w:val="hybridMultilevel"/>
    <w:tmpl w:val="88549DBE"/>
    <w:lvl w:ilvl="0" w:tplc="81D8CC4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446CBC"/>
    <w:multiLevelType w:val="hybridMultilevel"/>
    <w:tmpl w:val="058E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0245EC"/>
    <w:multiLevelType w:val="hybridMultilevel"/>
    <w:tmpl w:val="3EF82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8302D"/>
    <w:multiLevelType w:val="multilevel"/>
    <w:tmpl w:val="AFBC4856"/>
    <w:numStyleLink w:val="StyleBulleted"/>
  </w:abstractNum>
  <w:abstractNum w:abstractNumId="32"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8A5AB6"/>
    <w:multiLevelType w:val="hybridMultilevel"/>
    <w:tmpl w:val="7632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FCE521E"/>
    <w:multiLevelType w:val="hybridMultilevel"/>
    <w:tmpl w:val="60F61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9"/>
  </w:num>
  <w:num w:numId="3">
    <w:abstractNumId w:val="9"/>
  </w:num>
  <w:num w:numId="4">
    <w:abstractNumId w:val="0"/>
  </w:num>
  <w:num w:numId="5">
    <w:abstractNumId w:val="29"/>
  </w:num>
  <w:num w:numId="6">
    <w:abstractNumId w:val="12"/>
  </w:num>
  <w:num w:numId="7">
    <w:abstractNumId w:val="16"/>
  </w:num>
  <w:num w:numId="8">
    <w:abstractNumId w:val="25"/>
  </w:num>
  <w:num w:numId="9">
    <w:abstractNumId w:val="18"/>
  </w:num>
  <w:num w:numId="10">
    <w:abstractNumId w:val="14"/>
  </w:num>
  <w:num w:numId="11">
    <w:abstractNumId w:val="34"/>
  </w:num>
  <w:num w:numId="12">
    <w:abstractNumId w:val="3"/>
  </w:num>
  <w:num w:numId="13">
    <w:abstractNumId w:val="23"/>
  </w:num>
  <w:num w:numId="14">
    <w:abstractNumId w:val="15"/>
  </w:num>
  <w:num w:numId="15">
    <w:abstractNumId w:val="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0"/>
  </w:num>
  <w:num w:numId="19">
    <w:abstractNumId w:val="9"/>
  </w:num>
  <w:num w:numId="20">
    <w:abstractNumId w:val="32"/>
  </w:num>
  <w:num w:numId="21">
    <w:abstractNumId w:val="41"/>
  </w:num>
  <w:num w:numId="22">
    <w:abstractNumId w:val="36"/>
  </w:num>
  <w:num w:numId="23">
    <w:abstractNumId w:val="5"/>
  </w:num>
  <w:num w:numId="24">
    <w:abstractNumId w:val="21"/>
  </w:num>
  <w:num w:numId="25">
    <w:abstractNumId w:val="10"/>
  </w:num>
  <w:num w:numId="26">
    <w:abstractNumId w:val="22"/>
  </w:num>
  <w:num w:numId="27">
    <w:abstractNumId w:val="28"/>
  </w:num>
  <w:num w:numId="28">
    <w:abstractNumId w:val="20"/>
  </w:num>
  <w:num w:numId="29">
    <w:abstractNumId w:val="19"/>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40"/>
  </w:num>
  <w:num w:numId="34">
    <w:abstractNumId w:val="37"/>
  </w:num>
  <w:num w:numId="35">
    <w:abstractNumId w:val="24"/>
  </w:num>
  <w:num w:numId="36">
    <w:abstractNumId w:val="31"/>
  </w:num>
  <w:num w:numId="37">
    <w:abstractNumId w:val="17"/>
  </w:num>
  <w:num w:numId="38">
    <w:abstractNumId w:val="43"/>
  </w:num>
  <w:num w:numId="39">
    <w:abstractNumId w:val="9"/>
  </w:num>
  <w:num w:numId="40">
    <w:abstractNumId w:val="8"/>
  </w:num>
  <w:num w:numId="41">
    <w:abstractNumId w:val="38"/>
  </w:num>
  <w:num w:numId="42">
    <w:abstractNumId w:val="13"/>
  </w:num>
  <w:num w:numId="43">
    <w:abstractNumId w:val="35"/>
  </w:num>
  <w:num w:numId="44">
    <w:abstractNumId w:val="11"/>
  </w:num>
  <w:num w:numId="45">
    <w:abstractNumId w:val="27"/>
  </w:num>
  <w:num w:numId="46">
    <w:abstractNumId w:val="1"/>
  </w:num>
  <w:num w:numId="47">
    <w:abstractNumId w:val="6"/>
  </w:num>
  <w:num w:numId="4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8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511B"/>
    <w:rsid w:val="00007449"/>
    <w:rsid w:val="000079E9"/>
    <w:rsid w:val="00010F11"/>
    <w:rsid w:val="00010F69"/>
    <w:rsid w:val="00011E5B"/>
    <w:rsid w:val="000120A3"/>
    <w:rsid w:val="0001210F"/>
    <w:rsid w:val="000121E6"/>
    <w:rsid w:val="00012ABB"/>
    <w:rsid w:val="000131B0"/>
    <w:rsid w:val="00013F5A"/>
    <w:rsid w:val="00013F67"/>
    <w:rsid w:val="0001433F"/>
    <w:rsid w:val="00014B26"/>
    <w:rsid w:val="00014DD0"/>
    <w:rsid w:val="000158C0"/>
    <w:rsid w:val="00015B24"/>
    <w:rsid w:val="000176A4"/>
    <w:rsid w:val="000179E3"/>
    <w:rsid w:val="00020190"/>
    <w:rsid w:val="000217EF"/>
    <w:rsid w:val="000218E4"/>
    <w:rsid w:val="0002224E"/>
    <w:rsid w:val="00022FE4"/>
    <w:rsid w:val="000231AC"/>
    <w:rsid w:val="0002412C"/>
    <w:rsid w:val="000245E2"/>
    <w:rsid w:val="000246F2"/>
    <w:rsid w:val="0002503C"/>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2C59"/>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09EA"/>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B3F"/>
    <w:rsid w:val="000F32E2"/>
    <w:rsid w:val="000F32E5"/>
    <w:rsid w:val="000F4612"/>
    <w:rsid w:val="000F4DC7"/>
    <w:rsid w:val="000F5AA1"/>
    <w:rsid w:val="000F5ECD"/>
    <w:rsid w:val="000F6396"/>
    <w:rsid w:val="000F7143"/>
    <w:rsid w:val="000F74D7"/>
    <w:rsid w:val="000F78F0"/>
    <w:rsid w:val="0010024E"/>
    <w:rsid w:val="00100305"/>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4C6"/>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41841"/>
    <w:rsid w:val="0014250C"/>
    <w:rsid w:val="001426F6"/>
    <w:rsid w:val="001427CF"/>
    <w:rsid w:val="001428A6"/>
    <w:rsid w:val="00142C47"/>
    <w:rsid w:val="001432C5"/>
    <w:rsid w:val="00143313"/>
    <w:rsid w:val="0014357E"/>
    <w:rsid w:val="00143B49"/>
    <w:rsid w:val="00143C28"/>
    <w:rsid w:val="00143CA2"/>
    <w:rsid w:val="00144EC2"/>
    <w:rsid w:val="0014577A"/>
    <w:rsid w:val="00145C8E"/>
    <w:rsid w:val="00146355"/>
    <w:rsid w:val="00146BD0"/>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87D"/>
    <w:rsid w:val="001D4F48"/>
    <w:rsid w:val="001D4FD3"/>
    <w:rsid w:val="001D51E2"/>
    <w:rsid w:val="001D5436"/>
    <w:rsid w:val="001D56B2"/>
    <w:rsid w:val="001D5A57"/>
    <w:rsid w:val="001D5B8F"/>
    <w:rsid w:val="001D6EA3"/>
    <w:rsid w:val="001D74C9"/>
    <w:rsid w:val="001D7AA3"/>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518"/>
    <w:rsid w:val="00236D71"/>
    <w:rsid w:val="002374A5"/>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3934"/>
    <w:rsid w:val="00263B0E"/>
    <w:rsid w:val="00263EF0"/>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D59"/>
    <w:rsid w:val="00290CDD"/>
    <w:rsid w:val="00290EB3"/>
    <w:rsid w:val="002912FB"/>
    <w:rsid w:val="00291403"/>
    <w:rsid w:val="002914C6"/>
    <w:rsid w:val="0029161E"/>
    <w:rsid w:val="00291CEC"/>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EBD"/>
    <w:rsid w:val="0032782A"/>
    <w:rsid w:val="00327CC0"/>
    <w:rsid w:val="00327D49"/>
    <w:rsid w:val="0033065F"/>
    <w:rsid w:val="00330DE8"/>
    <w:rsid w:val="00331945"/>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1B3"/>
    <w:rsid w:val="00393913"/>
    <w:rsid w:val="00393C8A"/>
    <w:rsid w:val="00393E1D"/>
    <w:rsid w:val="003947D4"/>
    <w:rsid w:val="00395FA6"/>
    <w:rsid w:val="003967A6"/>
    <w:rsid w:val="00396FB2"/>
    <w:rsid w:val="003974E9"/>
    <w:rsid w:val="003A17B9"/>
    <w:rsid w:val="003A1ACF"/>
    <w:rsid w:val="003A22C7"/>
    <w:rsid w:val="003A23A1"/>
    <w:rsid w:val="003A42FD"/>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592"/>
    <w:rsid w:val="003C3B2C"/>
    <w:rsid w:val="003C413D"/>
    <w:rsid w:val="003C52DF"/>
    <w:rsid w:val="003C6D39"/>
    <w:rsid w:val="003C77EA"/>
    <w:rsid w:val="003C7AF5"/>
    <w:rsid w:val="003D0945"/>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22DE"/>
    <w:rsid w:val="003E2714"/>
    <w:rsid w:val="003E28BA"/>
    <w:rsid w:val="003E30B9"/>
    <w:rsid w:val="003E3358"/>
    <w:rsid w:val="003E41EE"/>
    <w:rsid w:val="003E519B"/>
    <w:rsid w:val="003E53E1"/>
    <w:rsid w:val="003E7B95"/>
    <w:rsid w:val="003E7EB8"/>
    <w:rsid w:val="003F3986"/>
    <w:rsid w:val="003F434D"/>
    <w:rsid w:val="003F55AF"/>
    <w:rsid w:val="003F5DED"/>
    <w:rsid w:val="003F622F"/>
    <w:rsid w:val="003F73AE"/>
    <w:rsid w:val="003F74FA"/>
    <w:rsid w:val="003F76BC"/>
    <w:rsid w:val="003F7B43"/>
    <w:rsid w:val="003F7C08"/>
    <w:rsid w:val="003F7F7C"/>
    <w:rsid w:val="004000E5"/>
    <w:rsid w:val="0040146F"/>
    <w:rsid w:val="00401712"/>
    <w:rsid w:val="004022C0"/>
    <w:rsid w:val="00402C5C"/>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C90"/>
    <w:rsid w:val="00432D5E"/>
    <w:rsid w:val="00433158"/>
    <w:rsid w:val="004331A8"/>
    <w:rsid w:val="00433496"/>
    <w:rsid w:val="00434236"/>
    <w:rsid w:val="00434D0E"/>
    <w:rsid w:val="004354C4"/>
    <w:rsid w:val="00435924"/>
    <w:rsid w:val="00435AC7"/>
    <w:rsid w:val="004370EF"/>
    <w:rsid w:val="00437499"/>
    <w:rsid w:val="00441887"/>
    <w:rsid w:val="004418A2"/>
    <w:rsid w:val="00441BD1"/>
    <w:rsid w:val="004425D9"/>
    <w:rsid w:val="00443053"/>
    <w:rsid w:val="004432BE"/>
    <w:rsid w:val="00443515"/>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9D6"/>
    <w:rsid w:val="004D1A85"/>
    <w:rsid w:val="004D1F2F"/>
    <w:rsid w:val="004D25D1"/>
    <w:rsid w:val="004D2A95"/>
    <w:rsid w:val="004D4331"/>
    <w:rsid w:val="004D4357"/>
    <w:rsid w:val="004D497A"/>
    <w:rsid w:val="004D588A"/>
    <w:rsid w:val="004D5944"/>
    <w:rsid w:val="004D691C"/>
    <w:rsid w:val="004D76AD"/>
    <w:rsid w:val="004D7E61"/>
    <w:rsid w:val="004E0BC8"/>
    <w:rsid w:val="004E0F6C"/>
    <w:rsid w:val="004E2AE9"/>
    <w:rsid w:val="004E315B"/>
    <w:rsid w:val="004E44DE"/>
    <w:rsid w:val="004E4AEB"/>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F85"/>
    <w:rsid w:val="005165BF"/>
    <w:rsid w:val="005166AD"/>
    <w:rsid w:val="00516AA0"/>
    <w:rsid w:val="00516CA3"/>
    <w:rsid w:val="00516E82"/>
    <w:rsid w:val="005179B2"/>
    <w:rsid w:val="00520A19"/>
    <w:rsid w:val="00520D70"/>
    <w:rsid w:val="00522312"/>
    <w:rsid w:val="0052450D"/>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C0"/>
    <w:rsid w:val="006E09F4"/>
    <w:rsid w:val="006E200C"/>
    <w:rsid w:val="006E2666"/>
    <w:rsid w:val="006E270D"/>
    <w:rsid w:val="006E275E"/>
    <w:rsid w:val="006E2A27"/>
    <w:rsid w:val="006E33BD"/>
    <w:rsid w:val="006E3A22"/>
    <w:rsid w:val="006E3ECB"/>
    <w:rsid w:val="006E3FE0"/>
    <w:rsid w:val="006E45F1"/>
    <w:rsid w:val="006E4984"/>
    <w:rsid w:val="006E4AA4"/>
    <w:rsid w:val="006E4E10"/>
    <w:rsid w:val="006E60F3"/>
    <w:rsid w:val="006E6845"/>
    <w:rsid w:val="006E68BD"/>
    <w:rsid w:val="006E7667"/>
    <w:rsid w:val="006E7DDA"/>
    <w:rsid w:val="006F07E0"/>
    <w:rsid w:val="006F0923"/>
    <w:rsid w:val="006F0EA5"/>
    <w:rsid w:val="006F0F65"/>
    <w:rsid w:val="006F1023"/>
    <w:rsid w:val="006F15C2"/>
    <w:rsid w:val="006F1C75"/>
    <w:rsid w:val="006F2091"/>
    <w:rsid w:val="006F3DEE"/>
    <w:rsid w:val="006F3F00"/>
    <w:rsid w:val="006F43C5"/>
    <w:rsid w:val="006F462C"/>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28B"/>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32D"/>
    <w:rsid w:val="00801517"/>
    <w:rsid w:val="008019D1"/>
    <w:rsid w:val="00801ABF"/>
    <w:rsid w:val="00801C68"/>
    <w:rsid w:val="008026B5"/>
    <w:rsid w:val="00802AAF"/>
    <w:rsid w:val="008034C9"/>
    <w:rsid w:val="008038EE"/>
    <w:rsid w:val="0080402A"/>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633"/>
    <w:rsid w:val="008C37D0"/>
    <w:rsid w:val="008C403D"/>
    <w:rsid w:val="008C4C96"/>
    <w:rsid w:val="008C50B2"/>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D4"/>
    <w:rsid w:val="008D6BB8"/>
    <w:rsid w:val="008D7321"/>
    <w:rsid w:val="008E0204"/>
    <w:rsid w:val="008E19EC"/>
    <w:rsid w:val="008E20DD"/>
    <w:rsid w:val="008E24A9"/>
    <w:rsid w:val="008E2D5E"/>
    <w:rsid w:val="008E2FB9"/>
    <w:rsid w:val="008E36C9"/>
    <w:rsid w:val="008E3FA0"/>
    <w:rsid w:val="008E44A9"/>
    <w:rsid w:val="008E46AB"/>
    <w:rsid w:val="008E4993"/>
    <w:rsid w:val="008E4F70"/>
    <w:rsid w:val="008E624A"/>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140"/>
    <w:rsid w:val="0091548C"/>
    <w:rsid w:val="00916AA2"/>
    <w:rsid w:val="00916BB1"/>
    <w:rsid w:val="00916F7D"/>
    <w:rsid w:val="00920248"/>
    <w:rsid w:val="00920CE3"/>
    <w:rsid w:val="00921383"/>
    <w:rsid w:val="009218C4"/>
    <w:rsid w:val="00921E9A"/>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FE5"/>
    <w:rsid w:val="009542C8"/>
    <w:rsid w:val="00954395"/>
    <w:rsid w:val="0095459E"/>
    <w:rsid w:val="00954F0E"/>
    <w:rsid w:val="009553E4"/>
    <w:rsid w:val="00957574"/>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0316"/>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51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6AF"/>
    <w:rsid w:val="0099475E"/>
    <w:rsid w:val="009950A5"/>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7F1"/>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6414"/>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C0012"/>
    <w:rsid w:val="00AC049E"/>
    <w:rsid w:val="00AC14A3"/>
    <w:rsid w:val="00AC14C2"/>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7182"/>
    <w:rsid w:val="00AF780F"/>
    <w:rsid w:val="00AF7B46"/>
    <w:rsid w:val="00B01599"/>
    <w:rsid w:val="00B01D54"/>
    <w:rsid w:val="00B025FC"/>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E20"/>
    <w:rsid w:val="00B63FA8"/>
    <w:rsid w:val="00B64781"/>
    <w:rsid w:val="00B64F07"/>
    <w:rsid w:val="00B6523A"/>
    <w:rsid w:val="00B6627C"/>
    <w:rsid w:val="00B66C51"/>
    <w:rsid w:val="00B66E58"/>
    <w:rsid w:val="00B6735D"/>
    <w:rsid w:val="00B7023B"/>
    <w:rsid w:val="00B70AF3"/>
    <w:rsid w:val="00B7126F"/>
    <w:rsid w:val="00B719CE"/>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93D"/>
    <w:rsid w:val="00C06D7A"/>
    <w:rsid w:val="00C07487"/>
    <w:rsid w:val="00C0753B"/>
    <w:rsid w:val="00C100B0"/>
    <w:rsid w:val="00C1050D"/>
    <w:rsid w:val="00C10D6C"/>
    <w:rsid w:val="00C115FA"/>
    <w:rsid w:val="00C1181E"/>
    <w:rsid w:val="00C1270A"/>
    <w:rsid w:val="00C13BC9"/>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51D"/>
    <w:rsid w:val="00C546B1"/>
    <w:rsid w:val="00C54855"/>
    <w:rsid w:val="00C548AF"/>
    <w:rsid w:val="00C557D8"/>
    <w:rsid w:val="00C55966"/>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312E"/>
    <w:rsid w:val="00CB3212"/>
    <w:rsid w:val="00CB331B"/>
    <w:rsid w:val="00CB3834"/>
    <w:rsid w:val="00CB39AC"/>
    <w:rsid w:val="00CB4311"/>
    <w:rsid w:val="00CB4A23"/>
    <w:rsid w:val="00CB4BE8"/>
    <w:rsid w:val="00CB648D"/>
    <w:rsid w:val="00CB6538"/>
    <w:rsid w:val="00CB6D01"/>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07B87"/>
    <w:rsid w:val="00D10254"/>
    <w:rsid w:val="00D11DD7"/>
    <w:rsid w:val="00D11E1F"/>
    <w:rsid w:val="00D122D1"/>
    <w:rsid w:val="00D12CDE"/>
    <w:rsid w:val="00D12F0C"/>
    <w:rsid w:val="00D130A0"/>
    <w:rsid w:val="00D131E9"/>
    <w:rsid w:val="00D1381A"/>
    <w:rsid w:val="00D13FA3"/>
    <w:rsid w:val="00D14849"/>
    <w:rsid w:val="00D14E51"/>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746"/>
    <w:rsid w:val="00D33505"/>
    <w:rsid w:val="00D336AE"/>
    <w:rsid w:val="00D336D3"/>
    <w:rsid w:val="00D33DBF"/>
    <w:rsid w:val="00D34823"/>
    <w:rsid w:val="00D34EBC"/>
    <w:rsid w:val="00D34FBF"/>
    <w:rsid w:val="00D351E3"/>
    <w:rsid w:val="00D369D6"/>
    <w:rsid w:val="00D373D2"/>
    <w:rsid w:val="00D37771"/>
    <w:rsid w:val="00D377B5"/>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FED"/>
    <w:rsid w:val="00D64186"/>
    <w:rsid w:val="00D642E0"/>
    <w:rsid w:val="00D643DE"/>
    <w:rsid w:val="00D64D78"/>
    <w:rsid w:val="00D6522C"/>
    <w:rsid w:val="00D656A9"/>
    <w:rsid w:val="00D668CA"/>
    <w:rsid w:val="00D66E99"/>
    <w:rsid w:val="00D67060"/>
    <w:rsid w:val="00D67913"/>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D87"/>
    <w:rsid w:val="00DC7D8A"/>
    <w:rsid w:val="00DC7E25"/>
    <w:rsid w:val="00DD00EF"/>
    <w:rsid w:val="00DD04C7"/>
    <w:rsid w:val="00DD1951"/>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C5C"/>
    <w:rsid w:val="00E13C8B"/>
    <w:rsid w:val="00E1430E"/>
    <w:rsid w:val="00E14645"/>
    <w:rsid w:val="00E15BC1"/>
    <w:rsid w:val="00E15F2C"/>
    <w:rsid w:val="00E15FA5"/>
    <w:rsid w:val="00E1661C"/>
    <w:rsid w:val="00E16BA8"/>
    <w:rsid w:val="00E17140"/>
    <w:rsid w:val="00E20A77"/>
    <w:rsid w:val="00E20F5A"/>
    <w:rsid w:val="00E215CE"/>
    <w:rsid w:val="00E21D3C"/>
    <w:rsid w:val="00E224B6"/>
    <w:rsid w:val="00E22B16"/>
    <w:rsid w:val="00E23BD2"/>
    <w:rsid w:val="00E23C99"/>
    <w:rsid w:val="00E23E26"/>
    <w:rsid w:val="00E23FBC"/>
    <w:rsid w:val="00E24397"/>
    <w:rsid w:val="00E244DB"/>
    <w:rsid w:val="00E25D0F"/>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3E1B"/>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4E62"/>
    <w:rsid w:val="00E76732"/>
    <w:rsid w:val="00E768CC"/>
    <w:rsid w:val="00E77C87"/>
    <w:rsid w:val="00E77ECF"/>
    <w:rsid w:val="00E80150"/>
    <w:rsid w:val="00E80FDB"/>
    <w:rsid w:val="00E81116"/>
    <w:rsid w:val="00E81F94"/>
    <w:rsid w:val="00E8269D"/>
    <w:rsid w:val="00E82C37"/>
    <w:rsid w:val="00E83802"/>
    <w:rsid w:val="00E838D4"/>
    <w:rsid w:val="00E8394E"/>
    <w:rsid w:val="00E83F6B"/>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E09"/>
    <w:rsid w:val="00EE25B3"/>
    <w:rsid w:val="00EE3A79"/>
    <w:rsid w:val="00EE439E"/>
    <w:rsid w:val="00EE4941"/>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742"/>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3EQ6UJ4K66FU-4-32928</_dlc_DocId>
    <_dlc_DocIdUrl xmlns="df4eea7b-52db-4162-980b-b352f1b580a3">
      <Url>https://projects.qualcomm.com/sites/meridian/_layouts/15/DocIdRedir.aspx?ID=3EQ6UJ4K66FU-4-32928</Url>
      <Description>3EQ6UJ4K66FU-4-32928</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B76CD-459D-4CEC-B1E1-DB5C42387913}">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df4eea7b-52db-4162-980b-b352f1b580a3"/>
    <ds:schemaRef ds:uri="http://www.w3.org/XML/1998/namespace"/>
  </ds:schemaRefs>
</ds:datastoreItem>
</file>

<file path=customXml/itemProps2.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3.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4.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604C31-5D26-4605-8C18-A2932D8D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1067</TotalTime>
  <Pages>7</Pages>
  <Words>3219</Words>
  <Characters>17034</Characters>
  <Application>Microsoft Office Word</Application>
  <DocSecurity>0</DocSecurity>
  <Lines>141</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20213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Qualcomm</cp:lastModifiedBy>
  <cp:revision>53</cp:revision>
  <cp:lastPrinted>2018-08-09T22:24:00Z</cp:lastPrinted>
  <dcterms:created xsi:type="dcterms:W3CDTF">2018-05-02T22:02:00Z</dcterms:created>
  <dcterms:modified xsi:type="dcterms:W3CDTF">2018-08-11T00:01:00Z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deefde41-faf2-4ed2-bea4-cd381e487e13</vt:lpwstr>
  </property>
</Properties>
</file>